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6EAA41EF" w:rsidR="001E0E46" w:rsidRPr="001E0E46"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RAN WG1 Meet</w:t>
      </w:r>
      <w:r w:rsidR="00626339">
        <w:rPr>
          <w:rFonts w:ascii="Times New Roman" w:eastAsia="SimSun" w:hAnsi="Times New Roman"/>
          <w:b/>
          <w:sz w:val="24"/>
          <w:lang w:val="en-US" w:eastAsia="zh-CN"/>
        </w:rPr>
        <w:t>ing #92bis</w:t>
      </w:r>
      <w:r w:rsidR="00626339">
        <w:rPr>
          <w:rFonts w:ascii="Times New Roman" w:eastAsia="SimSun" w:hAnsi="Times New Roman"/>
          <w:b/>
          <w:sz w:val="24"/>
          <w:lang w:val="en-US" w:eastAsia="zh-CN"/>
        </w:rPr>
        <w:tab/>
      </w:r>
      <w:r w:rsidR="00626339">
        <w:rPr>
          <w:rFonts w:ascii="Times New Roman" w:eastAsia="SimSun" w:hAnsi="Times New Roman"/>
          <w:b/>
          <w:sz w:val="24"/>
          <w:lang w:val="en-US" w:eastAsia="zh-CN"/>
        </w:rPr>
        <w:tab/>
      </w:r>
      <w:r w:rsidR="00626339">
        <w:rPr>
          <w:rFonts w:ascii="Times New Roman" w:eastAsia="SimSun" w:hAnsi="Times New Roman"/>
          <w:b/>
          <w:sz w:val="24"/>
          <w:lang w:val="en-US" w:eastAsia="zh-CN"/>
        </w:rPr>
        <w:tab/>
      </w:r>
      <w:r w:rsidR="00626339">
        <w:rPr>
          <w:rFonts w:ascii="Times New Roman" w:eastAsia="SimSun" w:hAnsi="Times New Roman"/>
          <w:b/>
          <w:sz w:val="24"/>
          <w:lang w:val="en-US" w:eastAsia="zh-CN"/>
        </w:rPr>
        <w:tab/>
      </w:r>
      <w:r w:rsidR="00626339">
        <w:rPr>
          <w:rFonts w:ascii="Times New Roman" w:eastAsia="SimSun" w:hAnsi="Times New Roman"/>
          <w:b/>
          <w:sz w:val="24"/>
          <w:lang w:val="en-US" w:eastAsia="zh-CN"/>
        </w:rPr>
        <w:tab/>
      </w:r>
      <w:r w:rsidR="00626339">
        <w:rPr>
          <w:rFonts w:ascii="Times New Roman" w:eastAsia="SimSun" w:hAnsi="Times New Roman"/>
          <w:b/>
          <w:sz w:val="24"/>
          <w:lang w:val="en-US" w:eastAsia="zh-CN"/>
        </w:rPr>
        <w:tab/>
      </w:r>
      <w:r w:rsidR="00626339">
        <w:rPr>
          <w:rFonts w:ascii="Times New Roman" w:eastAsia="SimSun" w:hAnsi="Times New Roman"/>
          <w:b/>
          <w:sz w:val="24"/>
          <w:lang w:val="en-US" w:eastAsia="zh-CN"/>
        </w:rPr>
        <w:tab/>
      </w:r>
      <w:r w:rsidR="00626339">
        <w:rPr>
          <w:rFonts w:ascii="Times New Roman" w:eastAsia="SimSun" w:hAnsi="Times New Roman"/>
          <w:b/>
          <w:sz w:val="24"/>
          <w:lang w:val="en-US" w:eastAsia="zh-CN"/>
        </w:rPr>
        <w:tab/>
        <w:t xml:space="preserve">    R1-1804865</w:t>
      </w:r>
    </w:p>
    <w:p w14:paraId="26F9CCC6" w14:textId="5552B901" w:rsidR="001375CD" w:rsidRPr="001E0E46" w:rsidRDefault="001E0E46" w:rsidP="001E0E46">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00F151AF" w:rsidRPr="00F151AF">
        <w:rPr>
          <w:rFonts w:ascii="Times New Roman" w:eastAsia="SimSun" w:hAnsi="Times New Roman"/>
          <w:b/>
          <w:sz w:val="24"/>
          <w:vertAlign w:val="superscript"/>
          <w:lang w:val="en-US" w:eastAsia="zh-CN"/>
        </w:rPr>
        <w:t>th</w:t>
      </w:r>
      <w:r w:rsidR="00F151AF">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00F151AF"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2ED28A93" w14:textId="77777777" w:rsidR="001E0E46" w:rsidRPr="001E0E46" w:rsidRDefault="001E0E46" w:rsidP="00FC6469">
      <w:pPr>
        <w:pStyle w:val="CRCoverPage"/>
        <w:tabs>
          <w:tab w:val="left" w:pos="1980"/>
        </w:tabs>
        <w:jc w:val="both"/>
        <w:rPr>
          <w:rFonts w:ascii="Times New Roman" w:hAnsi="Times New Roman"/>
          <w:b/>
          <w:bCs/>
          <w:sz w:val="24"/>
          <w:lang w:val="en-US"/>
        </w:rPr>
      </w:pPr>
    </w:p>
    <w:p w14:paraId="6FA141D4" w14:textId="2BC03772"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EF2160">
        <w:rPr>
          <w:rFonts w:ascii="Times New Roman" w:hAnsi="Times New Roman"/>
          <w:b/>
          <w:bCs/>
          <w:sz w:val="24"/>
          <w:lang w:val="en-US"/>
        </w:rPr>
        <w:t>5.1</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t>InterDigital</w:t>
      </w:r>
      <w:r w:rsidR="00E17A3B" w:rsidRPr="001E0E46">
        <w:rPr>
          <w:b/>
          <w:bCs/>
          <w:sz w:val="24"/>
          <w:lang w:val="en-US"/>
        </w:rPr>
        <w:t xml:space="preserve"> </w:t>
      </w:r>
      <w:r w:rsidR="001E0E46" w:rsidRPr="001E0E46">
        <w:rPr>
          <w:b/>
          <w:bCs/>
          <w:sz w:val="24"/>
          <w:lang w:val="en-US"/>
        </w:rPr>
        <w:t>Inc.</w:t>
      </w:r>
    </w:p>
    <w:p w14:paraId="4F02292E" w14:textId="42528EEC"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EF2160" w:rsidRPr="00EF2160">
        <w:rPr>
          <w:b/>
          <w:bCs/>
          <w:sz w:val="24"/>
          <w:lang w:val="en-US"/>
        </w:rPr>
        <w:t>On V2X Evaluation Methodology</w:t>
      </w:r>
    </w:p>
    <w:p w14:paraId="20F2A3ED" w14:textId="26FDD132"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2286129B" w14:textId="0EB32F84" w:rsidR="00EF2160" w:rsidRDefault="00EF2160" w:rsidP="00EF2160">
      <w:r>
        <w:t xml:space="preserve">The study item of evaluation methodology of new V2X use cases for LTE and NR was agreed in RAN plenary meeting #75 </w:t>
      </w:r>
      <w:r>
        <w:fldChar w:fldCharType="begin"/>
      </w:r>
      <w:r>
        <w:instrText xml:space="preserve"> REF _Ref494389398 \r \h </w:instrText>
      </w:r>
      <w:r>
        <w:fldChar w:fldCharType="separate"/>
      </w:r>
      <w:r>
        <w:t>[1]</w:t>
      </w:r>
      <w:r>
        <w:fldChar w:fldCharType="end"/>
      </w:r>
      <w:r>
        <w:t xml:space="preserve">. This study item is aimed to establish the evaluation methodology to support the full set of 5G V2X use cases </w:t>
      </w:r>
      <w:r>
        <w:fldChar w:fldCharType="begin"/>
      </w:r>
      <w:r>
        <w:instrText xml:space="preserve"> REF _Ref505955615 \r \h </w:instrText>
      </w:r>
      <w:r>
        <w:fldChar w:fldCharType="separate"/>
      </w:r>
      <w:r>
        <w:t>[2]</w:t>
      </w:r>
      <w:r>
        <w:fldChar w:fldCharType="end"/>
      </w:r>
      <w:r>
        <w:t xml:space="preserve"> and the full set of 5G RAN requirements </w:t>
      </w:r>
      <w:r>
        <w:fldChar w:fldCharType="begin"/>
      </w:r>
      <w:r>
        <w:instrText xml:space="preserve"> REF _Ref505955644 \r \h </w:instrText>
      </w:r>
      <w:r>
        <w:fldChar w:fldCharType="separate"/>
      </w:r>
      <w:r>
        <w:t>[3]</w:t>
      </w:r>
      <w:r>
        <w:fldChar w:fldCharType="end"/>
      </w:r>
      <w:r>
        <w:t xml:space="preserve">. </w:t>
      </w:r>
    </w:p>
    <w:p w14:paraId="0C849BE7" w14:textId="743BA05F" w:rsidR="00EF2160" w:rsidRDefault="00EF2160" w:rsidP="00EF2160">
      <w:r>
        <w:t xml:space="preserve">Several email discussions have been conducted since the approval of the study item </w:t>
      </w:r>
      <w:r>
        <w:fldChar w:fldCharType="begin"/>
      </w:r>
      <w:r>
        <w:instrText xml:space="preserve"> REF _Ref494389398 \r \h </w:instrText>
      </w:r>
      <w:r>
        <w:fldChar w:fldCharType="separate"/>
      </w:r>
      <w:r>
        <w:t>[1]</w:t>
      </w:r>
      <w:r>
        <w:fldChar w:fldCharType="end"/>
      </w:r>
      <w:r>
        <w:t xml:space="preserve">. These email discussions not only identified a list of topics to be studied, but also collected companies’ views on these topics and tried to reach consensus on some of the topics. Based on the email discussions, many agreements have been made in RAN1 meeting #92 </w:t>
      </w:r>
      <w:r>
        <w:fldChar w:fldCharType="begin"/>
      </w:r>
      <w:r>
        <w:instrText xml:space="preserve"> REF _Ref510442931 \r \h </w:instrText>
      </w:r>
      <w:r>
        <w:fldChar w:fldCharType="separate"/>
      </w:r>
      <w:r>
        <w:t>[4]</w:t>
      </w:r>
      <w:r>
        <w:fldChar w:fldCharType="end"/>
      </w:r>
      <w:r>
        <w:t>. These agreements include various aspects of system level simulation assumptions, e.g., evaluation scenarios, BS and RSU deployment, antenna model, traffic model and performance metric.</w:t>
      </w:r>
    </w:p>
    <w:p w14:paraId="565DAD5B" w14:textId="27F6BE05" w:rsidR="00EF2160" w:rsidRPr="008A328D" w:rsidRDefault="00EF2160" w:rsidP="00EF2160">
      <w:r w:rsidRPr="008A328D">
        <w:t>In this contribution, we</w:t>
      </w:r>
      <w:r>
        <w:t xml:space="preserve"> provide our views on the remaining issues of system level simulation assumptions. Our views on V2X sidelink channel model are summarized in our companion contribution </w:t>
      </w:r>
      <w:r>
        <w:fldChar w:fldCharType="begin"/>
      </w:r>
      <w:r>
        <w:instrText xml:space="preserve"> REF _Ref510512878 \r \h </w:instrText>
      </w:r>
      <w:r>
        <w:fldChar w:fldCharType="separate"/>
      </w:r>
      <w:r>
        <w:t>[5]</w:t>
      </w:r>
      <w:r>
        <w:fldChar w:fldCharType="end"/>
      </w:r>
      <w:r>
        <w:t>.</w:t>
      </w:r>
    </w:p>
    <w:p w14:paraId="12579F8C" w14:textId="77777777" w:rsidR="00FA007C" w:rsidRPr="001E0E46" w:rsidRDefault="00FA007C" w:rsidP="004E1513">
      <w:pPr>
        <w:rPr>
          <w:sz w:val="20"/>
        </w:rPr>
      </w:pPr>
    </w:p>
    <w:p w14:paraId="411E7BBD" w14:textId="10DD7321" w:rsidR="00085A01" w:rsidRPr="00EF2160" w:rsidRDefault="00EF2160" w:rsidP="00085A01">
      <w:pPr>
        <w:pStyle w:val="Heading1"/>
        <w:pBdr>
          <w:top w:val="single" w:sz="12" w:space="5" w:color="auto"/>
        </w:pBdr>
        <w:spacing w:after="120"/>
        <w:rPr>
          <w:rFonts w:ascii="Times New Roman" w:hAnsi="Times New Roman"/>
          <w:b/>
          <w:sz w:val="32"/>
          <w:szCs w:val="32"/>
        </w:rPr>
      </w:pPr>
      <w:r w:rsidRPr="00EF2160">
        <w:rPr>
          <w:rFonts w:ascii="Times New Roman" w:hAnsi="Times New Roman"/>
          <w:b/>
          <w:sz w:val="32"/>
          <w:szCs w:val="32"/>
        </w:rPr>
        <w:t>Discussion</w:t>
      </w:r>
    </w:p>
    <w:p w14:paraId="5D48CF55" w14:textId="77777777" w:rsidR="00EF2160" w:rsidRDefault="00EF2160" w:rsidP="00EF2160">
      <w:r>
        <w:t>Since the study item of evaluation methodology of new V2X use cases for LTE and NR was agreed, several email discussions have been conducted in preparation for the study item.</w:t>
      </w:r>
    </w:p>
    <w:p w14:paraId="4D46DEB3" w14:textId="3BE59A38" w:rsidR="00EF2160" w:rsidRPr="006140CC" w:rsidRDefault="00EF2160" w:rsidP="00EF2160">
      <w:pPr>
        <w:pStyle w:val="ListParagraph"/>
        <w:numPr>
          <w:ilvl w:val="0"/>
          <w:numId w:val="16"/>
        </w:numPr>
        <w:spacing w:after="160" w:line="259" w:lineRule="auto"/>
        <w:contextualSpacing/>
        <w:jc w:val="both"/>
        <w:rPr>
          <w:rFonts w:ascii="Times New Roman" w:hAnsi="Times New Roman"/>
          <w:lang w:val="en-GB"/>
        </w:rPr>
      </w:pPr>
      <w:r w:rsidRPr="006140CC">
        <w:rPr>
          <w:rFonts w:ascii="Times New Roman" w:hAnsi="Times New Roman"/>
          <w:lang w:val="en-GB"/>
        </w:rPr>
        <w:t xml:space="preserve">In the first email reflector discussions [89-28], a list of topics to be studied were identified </w:t>
      </w:r>
      <w:r w:rsidRPr="006140CC">
        <w:rPr>
          <w:rFonts w:ascii="Times New Roman" w:hAnsi="Times New Roman"/>
          <w:lang w:val="en-GB"/>
        </w:rPr>
        <w:fldChar w:fldCharType="begin"/>
      </w:r>
      <w:r w:rsidRPr="006140CC">
        <w:rPr>
          <w:rFonts w:ascii="Times New Roman" w:hAnsi="Times New Roman"/>
          <w:lang w:val="en-GB"/>
        </w:rPr>
        <w:instrText xml:space="preserve"> REF _Ref502832396 \r \h </w:instrText>
      </w:r>
      <w:r w:rsidRPr="006140CC">
        <w:rPr>
          <w:rFonts w:ascii="Times New Roman" w:hAnsi="Times New Roman"/>
          <w:lang w:val="en-GB"/>
        </w:rPr>
      </w:r>
      <w:r w:rsidRPr="006140CC">
        <w:rPr>
          <w:rFonts w:ascii="Times New Roman" w:hAnsi="Times New Roman"/>
          <w:lang w:val="en-GB"/>
        </w:rPr>
        <w:fldChar w:fldCharType="separate"/>
      </w:r>
      <w:r>
        <w:rPr>
          <w:rFonts w:ascii="Times New Roman" w:hAnsi="Times New Roman"/>
          <w:lang w:val="en-GB"/>
        </w:rPr>
        <w:t>[5]</w:t>
      </w:r>
      <w:r w:rsidRPr="006140CC">
        <w:rPr>
          <w:rFonts w:ascii="Times New Roman" w:hAnsi="Times New Roman"/>
          <w:lang w:val="en-GB"/>
        </w:rPr>
        <w:fldChar w:fldCharType="end"/>
      </w:r>
      <w:r w:rsidRPr="006140CC">
        <w:rPr>
          <w:rFonts w:ascii="Times New Roman" w:hAnsi="Times New Roman"/>
          <w:lang w:val="en-GB"/>
        </w:rPr>
        <w:t xml:space="preserve">. These topics are related to evaluation scenarios, UE drop and mobility modelling, BS and RSU deployment, channel model, antenna model, traffic model and performance metric. </w:t>
      </w:r>
    </w:p>
    <w:p w14:paraId="32DA454E" w14:textId="0892B147" w:rsidR="00EF2160" w:rsidRPr="006140CC" w:rsidRDefault="00EF2160" w:rsidP="00EF2160">
      <w:pPr>
        <w:pStyle w:val="ListParagraph"/>
        <w:numPr>
          <w:ilvl w:val="0"/>
          <w:numId w:val="16"/>
        </w:numPr>
        <w:spacing w:after="160" w:line="259" w:lineRule="auto"/>
        <w:contextualSpacing/>
        <w:jc w:val="both"/>
        <w:rPr>
          <w:rFonts w:ascii="Times New Roman" w:hAnsi="Times New Roman"/>
          <w:lang w:val="en-GB"/>
        </w:rPr>
      </w:pPr>
      <w:r w:rsidRPr="006140CC">
        <w:rPr>
          <w:rFonts w:ascii="Times New Roman" w:hAnsi="Times New Roman"/>
          <w:lang w:val="en-GB"/>
        </w:rPr>
        <w:t xml:space="preserve">In the second email reflector discussions [90-30], companies provided their views on these topics </w:t>
      </w:r>
      <w:r w:rsidRPr="006140CC">
        <w:rPr>
          <w:rFonts w:ascii="Times New Roman" w:hAnsi="Times New Roman"/>
          <w:lang w:val="en-GB"/>
        </w:rPr>
        <w:fldChar w:fldCharType="begin"/>
      </w:r>
      <w:r w:rsidRPr="006140CC">
        <w:rPr>
          <w:rFonts w:ascii="Times New Roman" w:hAnsi="Times New Roman"/>
          <w:lang w:val="en-GB"/>
        </w:rPr>
        <w:instrText xml:space="preserve"> REF _Ref502833058 \r \h </w:instrText>
      </w:r>
      <w:r w:rsidRPr="006140CC">
        <w:rPr>
          <w:rFonts w:ascii="Times New Roman" w:hAnsi="Times New Roman"/>
          <w:lang w:val="en-GB"/>
        </w:rPr>
      </w:r>
      <w:r w:rsidRPr="006140CC">
        <w:rPr>
          <w:rFonts w:ascii="Times New Roman" w:hAnsi="Times New Roman"/>
          <w:lang w:val="en-GB"/>
        </w:rPr>
        <w:fldChar w:fldCharType="separate"/>
      </w:r>
      <w:r>
        <w:rPr>
          <w:rFonts w:ascii="Times New Roman" w:hAnsi="Times New Roman"/>
          <w:lang w:val="en-GB"/>
        </w:rPr>
        <w:t>[7]</w:t>
      </w:r>
      <w:r w:rsidRPr="006140CC">
        <w:rPr>
          <w:rFonts w:ascii="Times New Roman" w:hAnsi="Times New Roman"/>
          <w:lang w:val="en-GB"/>
        </w:rPr>
        <w:fldChar w:fldCharType="end"/>
      </w:r>
      <w:r w:rsidRPr="006140CC">
        <w:rPr>
          <w:rFonts w:ascii="Times New Roman" w:hAnsi="Times New Roman"/>
          <w:lang w:val="en-GB"/>
        </w:rPr>
        <w:t>.</w:t>
      </w:r>
    </w:p>
    <w:p w14:paraId="7AA197BA" w14:textId="28D54B28" w:rsidR="00EF2160" w:rsidRPr="006140CC" w:rsidRDefault="00EF2160" w:rsidP="00EF2160">
      <w:pPr>
        <w:pStyle w:val="ListParagraph"/>
        <w:numPr>
          <w:ilvl w:val="0"/>
          <w:numId w:val="16"/>
        </w:numPr>
        <w:spacing w:after="160" w:line="259" w:lineRule="auto"/>
        <w:contextualSpacing/>
        <w:jc w:val="both"/>
        <w:rPr>
          <w:rFonts w:ascii="Times New Roman" w:hAnsi="Times New Roman"/>
          <w:lang w:val="en-GB"/>
        </w:rPr>
      </w:pPr>
      <w:r w:rsidRPr="006140CC">
        <w:rPr>
          <w:rFonts w:ascii="Times New Roman" w:hAnsi="Times New Roman"/>
          <w:lang w:val="en-GB"/>
        </w:rPr>
        <w:t xml:space="preserve">A list of topics, which achieved consensus based on companies’ inputs in </w:t>
      </w:r>
      <w:r w:rsidRPr="006140CC">
        <w:rPr>
          <w:rFonts w:ascii="Times New Roman" w:hAnsi="Times New Roman"/>
          <w:lang w:val="en-GB"/>
        </w:rPr>
        <w:fldChar w:fldCharType="begin"/>
      </w:r>
      <w:r w:rsidRPr="006140CC">
        <w:rPr>
          <w:rFonts w:ascii="Times New Roman" w:hAnsi="Times New Roman"/>
          <w:lang w:val="en-GB"/>
        </w:rPr>
        <w:instrText xml:space="preserve"> REF _Ref502833058 \r \h </w:instrText>
      </w:r>
      <w:r w:rsidRPr="006140CC">
        <w:rPr>
          <w:rFonts w:ascii="Times New Roman" w:hAnsi="Times New Roman"/>
          <w:lang w:val="en-GB"/>
        </w:rPr>
      </w:r>
      <w:r w:rsidRPr="006140CC">
        <w:rPr>
          <w:rFonts w:ascii="Times New Roman" w:hAnsi="Times New Roman"/>
          <w:lang w:val="en-GB"/>
        </w:rPr>
        <w:fldChar w:fldCharType="separate"/>
      </w:r>
      <w:r>
        <w:rPr>
          <w:rFonts w:ascii="Times New Roman" w:hAnsi="Times New Roman"/>
          <w:lang w:val="en-GB"/>
        </w:rPr>
        <w:t>[7]</w:t>
      </w:r>
      <w:r w:rsidRPr="006140CC">
        <w:rPr>
          <w:rFonts w:ascii="Times New Roman" w:hAnsi="Times New Roman"/>
          <w:lang w:val="en-GB"/>
        </w:rPr>
        <w:fldChar w:fldCharType="end"/>
      </w:r>
      <w:r w:rsidRPr="006140CC">
        <w:rPr>
          <w:rFonts w:ascii="Times New Roman" w:hAnsi="Times New Roman"/>
          <w:lang w:val="en-GB"/>
        </w:rPr>
        <w:t xml:space="preserve">, was summarized in </w:t>
      </w:r>
      <w:r w:rsidRPr="006140CC">
        <w:rPr>
          <w:rFonts w:ascii="Times New Roman" w:hAnsi="Times New Roman"/>
          <w:lang w:val="en-GB"/>
        </w:rPr>
        <w:fldChar w:fldCharType="begin"/>
      </w:r>
      <w:r w:rsidRPr="006140CC">
        <w:rPr>
          <w:rFonts w:ascii="Times New Roman" w:hAnsi="Times New Roman"/>
          <w:lang w:val="en-GB"/>
        </w:rPr>
        <w:instrText xml:space="preserve"> REF _Ref502833508 \r \h </w:instrText>
      </w:r>
      <w:r w:rsidRPr="006140CC">
        <w:rPr>
          <w:rFonts w:ascii="Times New Roman" w:hAnsi="Times New Roman"/>
          <w:lang w:val="en-GB"/>
        </w:rPr>
      </w:r>
      <w:r w:rsidRPr="006140CC">
        <w:rPr>
          <w:rFonts w:ascii="Times New Roman" w:hAnsi="Times New Roman"/>
          <w:lang w:val="en-GB"/>
        </w:rPr>
        <w:fldChar w:fldCharType="separate"/>
      </w:r>
      <w:r>
        <w:rPr>
          <w:rFonts w:ascii="Times New Roman" w:hAnsi="Times New Roman"/>
          <w:lang w:val="en-GB"/>
        </w:rPr>
        <w:t>[8]</w:t>
      </w:r>
      <w:r w:rsidRPr="006140CC">
        <w:rPr>
          <w:rFonts w:ascii="Times New Roman" w:hAnsi="Times New Roman"/>
          <w:lang w:val="en-GB"/>
        </w:rPr>
        <w:fldChar w:fldCharType="end"/>
      </w:r>
      <w:r w:rsidRPr="006140CC">
        <w:rPr>
          <w:rFonts w:ascii="Times New Roman" w:hAnsi="Times New Roman"/>
          <w:lang w:val="en-GB"/>
        </w:rPr>
        <w:t xml:space="preserve"> as a part of the third email reflector discussions [90b-NR-02]. The other topics, which have not achieved consensus, were further discussed with details in </w:t>
      </w:r>
      <w:r w:rsidRPr="006140CC">
        <w:rPr>
          <w:rFonts w:ascii="Times New Roman" w:hAnsi="Times New Roman"/>
          <w:lang w:val="en-GB"/>
        </w:rPr>
        <w:fldChar w:fldCharType="begin"/>
      </w:r>
      <w:r w:rsidRPr="006140CC">
        <w:rPr>
          <w:rFonts w:ascii="Times New Roman" w:hAnsi="Times New Roman"/>
          <w:lang w:val="en-GB"/>
        </w:rPr>
        <w:instrText xml:space="preserve"> REF _Ref502833508 \r \h </w:instrText>
      </w:r>
      <w:r w:rsidRPr="006140CC">
        <w:rPr>
          <w:rFonts w:ascii="Times New Roman" w:hAnsi="Times New Roman"/>
          <w:lang w:val="en-GB"/>
        </w:rPr>
      </w:r>
      <w:r w:rsidRPr="006140CC">
        <w:rPr>
          <w:rFonts w:ascii="Times New Roman" w:hAnsi="Times New Roman"/>
          <w:lang w:val="en-GB"/>
        </w:rPr>
        <w:fldChar w:fldCharType="separate"/>
      </w:r>
      <w:r>
        <w:rPr>
          <w:rFonts w:ascii="Times New Roman" w:hAnsi="Times New Roman"/>
          <w:lang w:val="en-GB"/>
        </w:rPr>
        <w:t>[8]</w:t>
      </w:r>
      <w:r w:rsidRPr="006140CC">
        <w:rPr>
          <w:rFonts w:ascii="Times New Roman" w:hAnsi="Times New Roman"/>
          <w:lang w:val="en-GB"/>
        </w:rPr>
        <w:fldChar w:fldCharType="end"/>
      </w:r>
      <w:r w:rsidRPr="006140CC">
        <w:rPr>
          <w:rFonts w:ascii="Times New Roman" w:hAnsi="Times New Roman"/>
          <w:lang w:val="en-GB"/>
        </w:rPr>
        <w:t xml:space="preserve">. </w:t>
      </w:r>
    </w:p>
    <w:p w14:paraId="2446A4F8" w14:textId="3878D917" w:rsidR="00EF2160" w:rsidRPr="006140CC" w:rsidRDefault="00EF2160" w:rsidP="00EF2160">
      <w:pPr>
        <w:pStyle w:val="ListParagraph"/>
        <w:numPr>
          <w:ilvl w:val="0"/>
          <w:numId w:val="16"/>
        </w:numPr>
        <w:spacing w:after="160" w:line="259" w:lineRule="auto"/>
        <w:contextualSpacing/>
        <w:jc w:val="both"/>
        <w:rPr>
          <w:rFonts w:ascii="Times New Roman" w:hAnsi="Times New Roman"/>
          <w:lang w:val="en-GB"/>
        </w:rPr>
      </w:pPr>
      <w:r w:rsidRPr="006140CC">
        <w:rPr>
          <w:rFonts w:ascii="Times New Roman" w:hAnsi="Times New Roman"/>
          <w:lang w:val="en-GB"/>
        </w:rPr>
        <w:t xml:space="preserve">The latest email reflector discussions [91-NR-18] (i.e., </w:t>
      </w:r>
      <w:r w:rsidRPr="006140CC">
        <w:rPr>
          <w:rFonts w:ascii="Times New Roman" w:hAnsi="Times New Roman"/>
          <w:lang w:val="en-GB"/>
        </w:rPr>
        <w:fldChar w:fldCharType="begin"/>
      </w:r>
      <w:r w:rsidRPr="006140CC">
        <w:rPr>
          <w:rFonts w:ascii="Times New Roman" w:hAnsi="Times New Roman"/>
          <w:lang w:val="en-GB"/>
        </w:rPr>
        <w:instrText xml:space="preserve"> REF _Ref505880344 \r \h </w:instrText>
      </w:r>
      <w:r w:rsidRPr="006140CC">
        <w:rPr>
          <w:rFonts w:ascii="Times New Roman" w:hAnsi="Times New Roman"/>
          <w:lang w:val="en-GB"/>
        </w:rPr>
      </w:r>
      <w:r w:rsidRPr="006140CC">
        <w:rPr>
          <w:rFonts w:ascii="Times New Roman" w:hAnsi="Times New Roman"/>
          <w:lang w:val="en-GB"/>
        </w:rPr>
        <w:fldChar w:fldCharType="separate"/>
      </w:r>
      <w:r>
        <w:rPr>
          <w:rFonts w:ascii="Times New Roman" w:hAnsi="Times New Roman"/>
          <w:lang w:val="en-GB"/>
        </w:rPr>
        <w:t>[9]</w:t>
      </w:r>
      <w:r w:rsidRPr="006140CC">
        <w:rPr>
          <w:rFonts w:ascii="Times New Roman" w:hAnsi="Times New Roman"/>
          <w:lang w:val="en-GB"/>
        </w:rPr>
        <w:fldChar w:fldCharType="end"/>
      </w:r>
      <w:r w:rsidRPr="006140CC">
        <w:rPr>
          <w:rFonts w:ascii="Times New Roman" w:hAnsi="Times New Roman"/>
          <w:lang w:val="en-GB"/>
        </w:rPr>
        <w:t xml:space="preserve">) are aimed to achieve consensus on the remaining topics. </w:t>
      </w:r>
    </w:p>
    <w:p w14:paraId="4533953C" w14:textId="51CA16C8" w:rsidR="00EF2160" w:rsidRDefault="00EF2160" w:rsidP="00EF2160">
      <w:r>
        <w:t xml:space="preserve">Based on these email discussions, a list of agreements has been reached in RAN1 meeting #92 </w:t>
      </w:r>
      <w:r>
        <w:fldChar w:fldCharType="begin"/>
      </w:r>
      <w:r>
        <w:instrText xml:space="preserve"> REF _Ref510442931 \r \h </w:instrText>
      </w:r>
      <w:r>
        <w:fldChar w:fldCharType="separate"/>
      </w:r>
      <w:r>
        <w:t>[4]</w:t>
      </w:r>
      <w:r>
        <w:fldChar w:fldCharType="end"/>
      </w:r>
      <w:r>
        <w:t xml:space="preserve">. These agreements cover the topics of system level simulation assumptions, channel model, link level simulation assumptions and additional assumptions to evaluate vehicle positioning. The agreements on system level simulation assumptions </w:t>
      </w:r>
      <w:r w:rsidR="00D16209">
        <w:t>cover the topics of</w:t>
      </w:r>
      <w:r>
        <w:t xml:space="preserve"> evaluation scenarios, BS and RSU deployment, antenna model, traffic model and performance metric. There are still a lot of open issues on various aspects of system level simulation assumptions. In the following sub-sections, we shall provide our views on these open issues. </w:t>
      </w:r>
    </w:p>
    <w:p w14:paraId="66F10226" w14:textId="4FC45B6D" w:rsidR="00EF2160" w:rsidRPr="003D7917" w:rsidRDefault="00EF2160" w:rsidP="003D7917">
      <w:pPr>
        <w:pStyle w:val="Heading2"/>
        <w:rPr>
          <w:rFonts w:ascii="Times New Roman" w:hAnsi="Times New Roman"/>
          <w:sz w:val="28"/>
          <w:szCs w:val="24"/>
        </w:rPr>
      </w:pPr>
      <w:r w:rsidRPr="003D7917">
        <w:rPr>
          <w:rFonts w:ascii="Times New Roman" w:hAnsi="Times New Roman"/>
          <w:sz w:val="28"/>
        </w:rPr>
        <w:t>Evaluation Scenarios</w:t>
      </w:r>
    </w:p>
    <w:p w14:paraId="46EC6676" w14:textId="77777777" w:rsidR="00EF2160" w:rsidRDefault="00EF2160" w:rsidP="00EF2160">
      <w:r>
        <w:t xml:space="preserve">The evaluation scenarios of system level simulation assumptions aim to specify parameters of carrier frequency, DL/UL/SL simulation bandwidth and aggregated system bandwidth, BS/RSU/UE Tx power and receiver noise figure. These parameters could be different for urban grid scenario and highway scenario. In addition, two sets of parameters could be defined for above 6 GHz and below 6 GHz. </w:t>
      </w:r>
    </w:p>
    <w:p w14:paraId="7623A3F7" w14:textId="231235CB" w:rsidR="00EF2160" w:rsidRDefault="00EF2160" w:rsidP="00EF2160">
      <w:r>
        <w:lastRenderedPageBreak/>
        <w:t xml:space="preserve">For below 6 GHz (in both urban grid scenario and highway scenario), the set of all evaluation scenarios related parameters was agreed in RAN1 meeting #92 </w:t>
      </w:r>
      <w:r>
        <w:fldChar w:fldCharType="begin"/>
      </w:r>
      <w:r>
        <w:instrText xml:space="preserve"> REF _Ref510442931 \r \h </w:instrText>
      </w:r>
      <w:r>
        <w:fldChar w:fldCharType="separate"/>
      </w:r>
      <w:r>
        <w:t>[4]</w:t>
      </w:r>
      <w:r>
        <w:fldChar w:fldCharType="end"/>
      </w:r>
      <w:r>
        <w:t>, except the sidelink simulation bandwidth. Since sidelink may utilize uplink transmission resource and the simulation bandwidth for DL+UL is 20 MHz or 40 MHz, the simulation bandwidth for sidelink could be set as 10 MHz or 20 MHz</w:t>
      </w:r>
      <w:r w:rsidR="00D16209">
        <w:t>,</w:t>
      </w:r>
      <w:r>
        <w:t xml:space="preserve"> for below 6 GHz. </w:t>
      </w:r>
    </w:p>
    <w:p w14:paraId="50563889" w14:textId="46835CE1" w:rsidR="00EF2160" w:rsidRDefault="00EF2160" w:rsidP="00EF2160">
      <w:pPr>
        <w:rPr>
          <w:i/>
        </w:rPr>
      </w:pPr>
      <w:r w:rsidRPr="00003E24">
        <w:rPr>
          <w:b/>
          <w:i/>
          <w:u w:val="single"/>
        </w:rPr>
        <w:t xml:space="preserve">Proposal </w:t>
      </w:r>
      <w:r>
        <w:rPr>
          <w:b/>
          <w:i/>
          <w:u w:val="single"/>
        </w:rPr>
        <w:t>1</w:t>
      </w:r>
      <w:r w:rsidRPr="00003E24">
        <w:rPr>
          <w:i/>
        </w:rPr>
        <w:t xml:space="preserve">: </w:t>
      </w:r>
      <w:r>
        <w:rPr>
          <w:i/>
        </w:rPr>
        <w:t xml:space="preserve">For below 6 GHz, the simulation bandwidth for sidelink </w:t>
      </w:r>
      <w:r w:rsidR="005A5C8F">
        <w:rPr>
          <w:i/>
        </w:rPr>
        <w:t>can be</w:t>
      </w:r>
      <w:r>
        <w:rPr>
          <w:i/>
        </w:rPr>
        <w:t xml:space="preserve"> 10 MHz or 20 MHz. </w:t>
      </w:r>
    </w:p>
    <w:p w14:paraId="16C3B8B6" w14:textId="71A553CE" w:rsidR="00EF2160" w:rsidRDefault="00EF2160" w:rsidP="00EF2160">
      <w:r>
        <w:t xml:space="preserve">For above 6 GHz, the carrier frequency was agreed as 30 GHz or 63 GHz, and the noise figure was agreed as 7 dB for BS and 13 dB for UE </w:t>
      </w:r>
      <w:r>
        <w:fldChar w:fldCharType="begin"/>
      </w:r>
      <w:r>
        <w:instrText xml:space="preserve"> REF _Ref510442931 \r \h </w:instrText>
      </w:r>
      <w:r>
        <w:fldChar w:fldCharType="separate"/>
      </w:r>
      <w:r>
        <w:t>[4]</w:t>
      </w:r>
      <w:r>
        <w:fldChar w:fldCharType="end"/>
      </w:r>
      <w:r>
        <w:t>. However, the simulation bandwidth and aggregated system bandwidth have not been specified. We think the aggregated system bandwidth could be 1 GHz for both DL+UL and SL.</w:t>
      </w:r>
    </w:p>
    <w:p w14:paraId="6D91E8E5" w14:textId="77777777" w:rsidR="00EF2160" w:rsidRDefault="00EF2160" w:rsidP="00EF2160">
      <w:r>
        <w:t xml:space="preserve">For above 6 GHz, the BS-type-RSU Tx power could be 24 dBm and the UE-type-RSU and UE Tx power could be 23 dBm. This setting is aligned with that for below 6 GHz. </w:t>
      </w:r>
    </w:p>
    <w:p w14:paraId="11A07DAC" w14:textId="3951E5B2" w:rsidR="00EF2160" w:rsidRDefault="00EF2160" w:rsidP="00EF2160">
      <w:pPr>
        <w:rPr>
          <w:i/>
        </w:rPr>
      </w:pPr>
      <w:r w:rsidRPr="00003E24">
        <w:rPr>
          <w:b/>
          <w:i/>
          <w:u w:val="single"/>
        </w:rPr>
        <w:t xml:space="preserve">Proposal </w:t>
      </w:r>
      <w:r>
        <w:rPr>
          <w:b/>
          <w:i/>
          <w:u w:val="single"/>
        </w:rPr>
        <w:t>2</w:t>
      </w:r>
      <w:r w:rsidRPr="00003E24">
        <w:rPr>
          <w:i/>
        </w:rPr>
        <w:t xml:space="preserve">: </w:t>
      </w:r>
      <w:r>
        <w:rPr>
          <w:i/>
        </w:rPr>
        <w:t>For above 6 GHz, the aggr</w:t>
      </w:r>
      <w:r w:rsidR="00833938">
        <w:rPr>
          <w:i/>
        </w:rPr>
        <w:t xml:space="preserve">egated system bandwidth </w:t>
      </w:r>
      <w:r w:rsidR="005A5C8F">
        <w:rPr>
          <w:i/>
        </w:rPr>
        <w:t>can be</w:t>
      </w:r>
      <w:r>
        <w:rPr>
          <w:i/>
        </w:rPr>
        <w:t xml:space="preserve"> 1 GHz for DL+UL and SL. The BS-type-RSU Tx power </w:t>
      </w:r>
      <w:r w:rsidR="005A5C8F">
        <w:rPr>
          <w:i/>
        </w:rPr>
        <w:t>can be</w:t>
      </w:r>
      <w:r>
        <w:rPr>
          <w:i/>
        </w:rPr>
        <w:t xml:space="preserve"> 24 dBm and the UE-type-RSU or UE Tx power </w:t>
      </w:r>
      <w:r w:rsidR="005A5C8F">
        <w:rPr>
          <w:i/>
        </w:rPr>
        <w:t>can be</w:t>
      </w:r>
      <w:r>
        <w:rPr>
          <w:i/>
        </w:rPr>
        <w:t xml:space="preserve"> 23 dBm.</w:t>
      </w:r>
    </w:p>
    <w:p w14:paraId="5501F94A" w14:textId="77777777" w:rsidR="00EF2160" w:rsidRPr="00435216" w:rsidRDefault="00EF2160" w:rsidP="00EF2160">
      <w:pPr>
        <w:rPr>
          <w:i/>
        </w:rPr>
      </w:pPr>
      <w:r>
        <w:rPr>
          <w:i/>
        </w:rPr>
        <w:t xml:space="preserve"> </w:t>
      </w:r>
    </w:p>
    <w:p w14:paraId="47C56280" w14:textId="244E3B20" w:rsidR="00EF2160" w:rsidRPr="00EF2160" w:rsidRDefault="00EF2160" w:rsidP="00EF2160">
      <w:pPr>
        <w:pStyle w:val="Heading2"/>
        <w:numPr>
          <w:ilvl w:val="1"/>
          <w:numId w:val="17"/>
        </w:numPr>
        <w:rPr>
          <w:rFonts w:ascii="Times New Roman" w:hAnsi="Times New Roman"/>
          <w:sz w:val="28"/>
        </w:rPr>
      </w:pPr>
      <w:r w:rsidRPr="00EF2160">
        <w:rPr>
          <w:rFonts w:ascii="Times New Roman" w:hAnsi="Times New Roman"/>
          <w:sz w:val="28"/>
        </w:rPr>
        <w:t>UE Dropping</w:t>
      </w:r>
    </w:p>
    <w:p w14:paraId="7A60A170" w14:textId="30BDBB85" w:rsidR="00EF2160" w:rsidRDefault="00EF2160" w:rsidP="00EF2160">
      <w:r>
        <w:t xml:space="preserve">In the email discussions of UE distribution, several companies proposed to revisit some parameters defined in </w:t>
      </w:r>
      <w:r>
        <w:fldChar w:fldCharType="begin"/>
      </w:r>
      <w:r>
        <w:instrText xml:space="preserve"> REF _Ref506198991 \r \h  \* MERGEFORMAT </w:instrText>
      </w:r>
      <w:r>
        <w:fldChar w:fldCharType="separate"/>
      </w:r>
      <w:r>
        <w:t>[10]</w:t>
      </w:r>
      <w:r>
        <w:fldChar w:fldCharType="end"/>
      </w:r>
      <w:r>
        <w:t>. These parameters include the vehicle speed (especially, the vehicle speed limit in urban grid scenario), as well as the inter-vehicle time gap.</w:t>
      </w:r>
    </w:p>
    <w:p w14:paraId="681E36D4" w14:textId="0CF0DAB3" w:rsidR="00EF2160" w:rsidRDefault="00EF2160" w:rsidP="00EF2160">
      <w:r>
        <w:t>We think the inter-vehicle time gap (and hence, the inter-veh</w:t>
      </w:r>
      <w:r w:rsidR="00D16209">
        <w:t>icle distance) may depend on</w:t>
      </w:r>
      <w:r>
        <w:t xml:space="preserve"> use cases. For example, in vehicle platooning, the distance between two neighbour vehicles in a platoon may be smaller than that in another use case. For both urban grid scenario and highway scenario, the inter-vehicle time gap could be set as 1 second for the vehicle platooning use case, or 2 seconds for other use cases. </w:t>
      </w:r>
    </w:p>
    <w:p w14:paraId="6A2A47A4" w14:textId="77777777" w:rsidR="00EF2160" w:rsidRPr="004E3D35" w:rsidRDefault="00EF2160" w:rsidP="00EF2160">
      <w:r>
        <w:t>A typical vehicle speed in urban grid scenario is 15 km/h. The inter-vehicle time gap of 1 second for the vehicle platooning use case could result in the inter-vehicle distance of 4.17 meters, which could be shorter than a typical vehicle length. To address this issue, a minimum inter-vehicle distance value could be defined by considering vehicle length.</w:t>
      </w:r>
    </w:p>
    <w:p w14:paraId="730B5C9B" w14:textId="394FA3D7" w:rsidR="00EF2160" w:rsidRDefault="00EF2160" w:rsidP="00EF2160">
      <w:pPr>
        <w:rPr>
          <w:i/>
        </w:rPr>
      </w:pPr>
      <w:r w:rsidRPr="00003E24">
        <w:rPr>
          <w:b/>
          <w:i/>
          <w:u w:val="single"/>
        </w:rPr>
        <w:t xml:space="preserve">Proposal </w:t>
      </w:r>
      <w:r>
        <w:rPr>
          <w:b/>
          <w:i/>
          <w:u w:val="single"/>
        </w:rPr>
        <w:t>3</w:t>
      </w:r>
      <w:r w:rsidRPr="00003E24">
        <w:rPr>
          <w:i/>
        </w:rPr>
        <w:t>:</w:t>
      </w:r>
      <w:r>
        <w:rPr>
          <w:i/>
        </w:rPr>
        <w:t xml:space="preserve"> In UE dropping, the inter-veh</w:t>
      </w:r>
      <w:r w:rsidR="00D16209">
        <w:rPr>
          <w:i/>
        </w:rPr>
        <w:t xml:space="preserve">icle distance may depend on </w:t>
      </w:r>
      <w:r>
        <w:rPr>
          <w:i/>
        </w:rPr>
        <w:t xml:space="preserve">use cases. For </w:t>
      </w:r>
      <w:r w:rsidR="00D16209">
        <w:rPr>
          <w:i/>
        </w:rPr>
        <w:t xml:space="preserve">the </w:t>
      </w:r>
      <w:r>
        <w:rPr>
          <w:i/>
        </w:rPr>
        <w:t xml:space="preserve">vehicle platooning use case, </w:t>
      </w:r>
      <w:r w:rsidR="000674D8">
        <w:rPr>
          <w:i/>
        </w:rPr>
        <w:t>the inter-vehicle time gap can</w:t>
      </w:r>
      <w:r>
        <w:rPr>
          <w:i/>
        </w:rPr>
        <w:t xml:space="preserve"> be 1 second; for other use cases, </w:t>
      </w:r>
      <w:r w:rsidR="000674D8">
        <w:rPr>
          <w:i/>
        </w:rPr>
        <w:t>the inter-vehicle time gap can</w:t>
      </w:r>
      <w:r>
        <w:rPr>
          <w:i/>
        </w:rPr>
        <w:t xml:space="preserve"> be 2 seconds. A mini</w:t>
      </w:r>
      <w:r w:rsidR="000674D8">
        <w:rPr>
          <w:i/>
        </w:rPr>
        <w:t>mum inter-vehicle distance can</w:t>
      </w:r>
      <w:r>
        <w:rPr>
          <w:i/>
        </w:rPr>
        <w:t xml:space="preserve"> be defined by considering vehicle length.</w:t>
      </w:r>
    </w:p>
    <w:p w14:paraId="15EC9415" w14:textId="77777777" w:rsidR="00EF2160" w:rsidRDefault="00EF2160" w:rsidP="00EF2160">
      <w:r>
        <w:t xml:space="preserve">In general, the UE dropping does not depend on carrier frequency. Hence, the above proposal applies to both above 6 GHz and below 6 GHz. </w:t>
      </w:r>
    </w:p>
    <w:p w14:paraId="2FF9A127" w14:textId="77777777" w:rsidR="00EF2160" w:rsidRPr="00420E87" w:rsidRDefault="00EF2160" w:rsidP="00EF2160"/>
    <w:p w14:paraId="16A81F80" w14:textId="563362F3" w:rsidR="00EF2160" w:rsidRPr="00EF2160" w:rsidRDefault="00EF2160" w:rsidP="00EF2160">
      <w:pPr>
        <w:pStyle w:val="Heading2"/>
        <w:numPr>
          <w:ilvl w:val="1"/>
          <w:numId w:val="17"/>
        </w:numPr>
        <w:rPr>
          <w:rFonts w:ascii="Times New Roman" w:hAnsi="Times New Roman"/>
          <w:sz w:val="28"/>
        </w:rPr>
      </w:pPr>
      <w:r>
        <w:rPr>
          <w:rFonts w:ascii="Times New Roman" w:hAnsi="Times New Roman"/>
          <w:sz w:val="28"/>
        </w:rPr>
        <w:t>B</w:t>
      </w:r>
      <w:r w:rsidRPr="00EF2160">
        <w:rPr>
          <w:rFonts w:ascii="Times New Roman" w:hAnsi="Times New Roman"/>
          <w:sz w:val="28"/>
        </w:rPr>
        <w:t>S/RSU Deployment</w:t>
      </w:r>
    </w:p>
    <w:p w14:paraId="4ACD2C2B" w14:textId="343D9189" w:rsidR="00EF2160" w:rsidRDefault="00EF2160" w:rsidP="00EF2160">
      <w:r>
        <w:t xml:space="preserve">The road configuration for urban grid scenario and highway scenario in </w:t>
      </w:r>
      <w:r>
        <w:fldChar w:fldCharType="begin"/>
      </w:r>
      <w:r>
        <w:instrText xml:space="preserve"> REF _Ref505955644 \r \h </w:instrText>
      </w:r>
      <w:r>
        <w:fldChar w:fldCharType="separate"/>
      </w:r>
      <w:r>
        <w:t>[3]</w:t>
      </w:r>
      <w:r>
        <w:fldChar w:fldCharType="end"/>
      </w:r>
      <w:r>
        <w:t xml:space="preserve"> was agreed in system level simulation assumptions </w:t>
      </w:r>
      <w:r>
        <w:fldChar w:fldCharType="begin"/>
      </w:r>
      <w:r>
        <w:instrText xml:space="preserve"> REF _Ref510442931 \r \h </w:instrText>
      </w:r>
      <w:r>
        <w:fldChar w:fldCharType="separate"/>
      </w:r>
      <w:r>
        <w:t>[4]</w:t>
      </w:r>
      <w:r>
        <w:fldChar w:fldCharType="end"/>
      </w:r>
      <w:r>
        <w:t xml:space="preserve">. Furthermore, the BS deployment within the road configuration has been agreed for below 6 GHz </w:t>
      </w:r>
      <w:r>
        <w:fldChar w:fldCharType="begin"/>
      </w:r>
      <w:r>
        <w:instrText xml:space="preserve"> REF _Ref510442931 \r \h </w:instrText>
      </w:r>
      <w:r>
        <w:fldChar w:fldCharType="separate"/>
      </w:r>
      <w:r>
        <w:t>[4]</w:t>
      </w:r>
      <w:r>
        <w:fldChar w:fldCharType="end"/>
      </w:r>
      <w:r>
        <w:t xml:space="preserve">. We think this BS deployment could be extended to above 6 GHz as well. </w:t>
      </w:r>
    </w:p>
    <w:p w14:paraId="3C245014" w14:textId="0FC3E2BB" w:rsidR="00EF2160" w:rsidRDefault="00EF2160" w:rsidP="00EF2160">
      <w:r>
        <w:t xml:space="preserve">For below 6 GHz, the RSU deployment may follow the specifications in </w:t>
      </w:r>
      <w:r>
        <w:fldChar w:fldCharType="begin"/>
      </w:r>
      <w:r>
        <w:instrText xml:space="preserve"> REF _Ref506198991 \r \h </w:instrText>
      </w:r>
      <w:r>
        <w:fldChar w:fldCharType="separate"/>
      </w:r>
      <w:r>
        <w:t>[10]</w:t>
      </w:r>
      <w:r>
        <w:fldChar w:fldCharType="end"/>
      </w:r>
      <w:r>
        <w:t xml:space="preserve">, i.e., RSUs are placed at each road intersection for urban grid or are uniformly allocated with 100 meters spacing in the middle of the highway. </w:t>
      </w:r>
    </w:p>
    <w:p w14:paraId="5820DCAA" w14:textId="77777777" w:rsidR="00EF2160" w:rsidRDefault="00EF2160" w:rsidP="00EF2160">
      <w:r>
        <w:t>The RSU density for above 6 GHz band could be higher than that for below 6 GHz band. This high density RSU deployment in above 6 GHz band is to compensate the high path loss at high frequency, as well as the limited maximum RSU transmission power.</w:t>
      </w:r>
    </w:p>
    <w:p w14:paraId="7FBE57F2" w14:textId="364FBA83" w:rsidR="00EF2160" w:rsidRDefault="00EF2160" w:rsidP="00EF2160">
      <w:r>
        <w:t xml:space="preserve">Consider the road configuration for urban grid scenario in </w:t>
      </w:r>
      <w:r>
        <w:fldChar w:fldCharType="begin"/>
      </w:r>
      <w:r>
        <w:instrText xml:space="preserve"> REF _Ref505955644 \r \h </w:instrText>
      </w:r>
      <w:r>
        <w:fldChar w:fldCharType="separate"/>
      </w:r>
      <w:r>
        <w:t>[3]</w:t>
      </w:r>
      <w:r>
        <w:fldChar w:fldCharType="end"/>
      </w:r>
      <w:r>
        <w:t xml:space="preserve">. The distance between two intersections can be as large as 433 meters. If RSUs are deployed at the center of road intersections as in </w:t>
      </w:r>
      <w:r>
        <w:fldChar w:fldCharType="begin"/>
      </w:r>
      <w:r>
        <w:instrText xml:space="preserve"> REF _Ref506207120 \r \h </w:instrText>
      </w:r>
      <w:r>
        <w:fldChar w:fldCharType="separate"/>
      </w:r>
      <w:r>
        <w:t>[11]</w:t>
      </w:r>
      <w:r>
        <w:fldChar w:fldCharType="end"/>
      </w:r>
      <w:r>
        <w:t xml:space="preserve"> for below 6 GHz, then the inter-RSU distance may be too large for above 6 GHz band. Hence, it is desirable to reduce the inter-RSU distance for above 6 GHz. For example, we could place an additional RSU between the two neighbour </w:t>
      </w:r>
      <w:r>
        <w:lastRenderedPageBreak/>
        <w:t xml:space="preserve">road intersections with distance 250 meters, and place two additional RSUs between the two neighbour road intersections with distance 433 meters. </w:t>
      </w:r>
    </w:p>
    <w:p w14:paraId="4440D839" w14:textId="7386AD34" w:rsidR="00EF2160" w:rsidRDefault="00EF2160" w:rsidP="00EF2160">
      <w:pPr>
        <w:rPr>
          <w:i/>
        </w:rPr>
      </w:pPr>
      <w:r w:rsidRPr="00003E24">
        <w:rPr>
          <w:b/>
          <w:i/>
          <w:u w:val="single"/>
        </w:rPr>
        <w:t xml:space="preserve">Proposal </w:t>
      </w:r>
      <w:r>
        <w:rPr>
          <w:b/>
          <w:i/>
          <w:u w:val="single"/>
        </w:rPr>
        <w:t>4</w:t>
      </w:r>
      <w:r w:rsidRPr="00003E24">
        <w:rPr>
          <w:i/>
        </w:rPr>
        <w:t>:</w:t>
      </w:r>
      <w:r>
        <w:rPr>
          <w:i/>
        </w:rPr>
        <w:t xml:space="preserve"> The BS </w:t>
      </w:r>
      <w:r w:rsidR="000674D8">
        <w:rPr>
          <w:i/>
        </w:rPr>
        <w:t>deployment for above 6 GHz can</w:t>
      </w:r>
      <w:r>
        <w:rPr>
          <w:i/>
        </w:rPr>
        <w:t xml:space="preserve"> be the same as that for below 6 GHz</w:t>
      </w:r>
      <w:r w:rsidRPr="007C15EE">
        <w:rPr>
          <w:i/>
        </w:rPr>
        <w:t>. The RSU density for above 6 GHz should be higher than that for below 6 GHz.</w:t>
      </w:r>
    </w:p>
    <w:p w14:paraId="06B3DF8C" w14:textId="77777777" w:rsidR="00EF2160" w:rsidRPr="000C7EF9" w:rsidRDefault="00EF2160" w:rsidP="00EF2160"/>
    <w:p w14:paraId="3D93B35C" w14:textId="0BED9741" w:rsidR="00EF2160" w:rsidRPr="00EF2160" w:rsidRDefault="00EF2160" w:rsidP="00EF2160">
      <w:pPr>
        <w:pStyle w:val="Heading2"/>
        <w:numPr>
          <w:ilvl w:val="1"/>
          <w:numId w:val="17"/>
        </w:numPr>
        <w:rPr>
          <w:rFonts w:ascii="Times New Roman" w:hAnsi="Times New Roman"/>
        </w:rPr>
      </w:pPr>
      <w:r w:rsidRPr="00EF2160">
        <w:rPr>
          <w:rFonts w:ascii="Times New Roman" w:hAnsi="Times New Roman"/>
          <w:sz w:val="28"/>
        </w:rPr>
        <w:t>Antenna Model</w:t>
      </w:r>
    </w:p>
    <w:p w14:paraId="66549E6C" w14:textId="44D025DD" w:rsidR="00EF2160" w:rsidRDefault="00EF2160" w:rsidP="00EF2160">
      <w:r>
        <w:t xml:space="preserve">For below 6 GHz, the antenna model in </w:t>
      </w:r>
      <w:r>
        <w:fldChar w:fldCharType="begin"/>
      </w:r>
      <w:r>
        <w:instrText xml:space="preserve"> REF _Ref506198991 \r \h </w:instrText>
      </w:r>
      <w:r>
        <w:fldChar w:fldCharType="separate"/>
      </w:r>
      <w:r>
        <w:t>[10]</w:t>
      </w:r>
      <w:r>
        <w:fldChar w:fldCharType="end"/>
      </w:r>
      <w:r>
        <w:t xml:space="preserve"> was confirmed in RAN1 meeting #92 </w:t>
      </w:r>
      <w:r>
        <w:fldChar w:fldCharType="begin"/>
      </w:r>
      <w:r>
        <w:instrText xml:space="preserve"> REF _Ref510442931 \r \h </w:instrText>
      </w:r>
      <w:r>
        <w:fldChar w:fldCharType="separate"/>
      </w:r>
      <w:r>
        <w:t>[4]</w:t>
      </w:r>
      <w:r>
        <w:fldChar w:fldCharType="end"/>
      </w:r>
      <w:r>
        <w:t xml:space="preserve">, except the vehicle UE antenna height and antenna gain. </w:t>
      </w:r>
    </w:p>
    <w:p w14:paraId="574E7272" w14:textId="72C0490C" w:rsidR="00EF2160" w:rsidRDefault="00EF2160" w:rsidP="00EF2160">
      <w:r>
        <w:t xml:space="preserve">We propose to consider two types of vehicles (i.e., Truck/bus and passenger vehicle) in the discussions of vehicle blockage model </w:t>
      </w:r>
      <w:r>
        <w:fldChar w:fldCharType="begin"/>
      </w:r>
      <w:r>
        <w:instrText xml:space="preserve"> REF _Ref510512878 \r \h </w:instrText>
      </w:r>
      <w:r>
        <w:fldChar w:fldCharType="separate"/>
      </w:r>
      <w:r>
        <w:t>[5]</w:t>
      </w:r>
      <w:r>
        <w:fldChar w:fldCharType="end"/>
      </w:r>
      <w:r>
        <w:t xml:space="preserve">. These two types of vehicles have different heights, and hence, a vehicle UE antenna height may depend on the vehicle type. Instead of a single vehicle UE antenna height of 1.5 meters </w:t>
      </w:r>
      <w:r>
        <w:fldChar w:fldCharType="begin"/>
      </w:r>
      <w:r>
        <w:instrText xml:space="preserve"> REF _Ref506198991 \r \h </w:instrText>
      </w:r>
      <w:r>
        <w:fldChar w:fldCharType="separate"/>
      </w:r>
      <w:r>
        <w:t>[10]</w:t>
      </w:r>
      <w:r>
        <w:fldChar w:fldCharType="end"/>
      </w:r>
      <w:r>
        <w:t>, we think the vehicle UE antenna height could be 1.5 meters for passenger vehicle and 3 meters for truck or bus. These vehicle UE antenna heights could be applied to both above 6 GHz and below 6 GHz.</w:t>
      </w:r>
    </w:p>
    <w:p w14:paraId="778957C0" w14:textId="19FBB987" w:rsidR="00EF2160" w:rsidRPr="001075F4" w:rsidRDefault="00EF2160" w:rsidP="00EF2160">
      <w:pPr>
        <w:rPr>
          <w:i/>
        </w:rPr>
      </w:pPr>
      <w:r w:rsidRPr="00003E24">
        <w:rPr>
          <w:b/>
          <w:i/>
          <w:u w:val="single"/>
        </w:rPr>
        <w:t xml:space="preserve">Proposal </w:t>
      </w:r>
      <w:r>
        <w:rPr>
          <w:b/>
          <w:i/>
          <w:u w:val="single"/>
        </w:rPr>
        <w:t>5</w:t>
      </w:r>
      <w:r w:rsidRPr="00003E24">
        <w:rPr>
          <w:i/>
        </w:rPr>
        <w:t>:</w:t>
      </w:r>
      <w:r>
        <w:rPr>
          <w:i/>
        </w:rPr>
        <w:t xml:space="preserve"> For both above 6 GHz and below 6 GHz, the vehicle U</w:t>
      </w:r>
      <w:r w:rsidR="000674D8">
        <w:rPr>
          <w:i/>
        </w:rPr>
        <w:t>E antenna heights can</w:t>
      </w:r>
      <w:r>
        <w:rPr>
          <w:i/>
        </w:rPr>
        <w:t xml:space="preserve"> be 1.5 meters</w:t>
      </w:r>
      <w:r w:rsidR="000674D8">
        <w:rPr>
          <w:i/>
        </w:rPr>
        <w:t xml:space="preserve"> for passenger vehicle and can</w:t>
      </w:r>
      <w:r>
        <w:rPr>
          <w:i/>
        </w:rPr>
        <w:t xml:space="preserve"> be 3 meters for truck or bus. </w:t>
      </w:r>
    </w:p>
    <w:p w14:paraId="6AF866DF" w14:textId="40D79B60" w:rsidR="00EF2160" w:rsidRDefault="00EF2160" w:rsidP="00EF2160">
      <w:r>
        <w:t xml:space="preserve">It is mentioned in </w:t>
      </w:r>
      <w:r>
        <w:fldChar w:fldCharType="begin"/>
      </w:r>
      <w:r>
        <w:instrText xml:space="preserve"> REF _Ref506198991 \r \h </w:instrText>
      </w:r>
      <w:r>
        <w:fldChar w:fldCharType="separate"/>
      </w:r>
      <w:r>
        <w:t>[10]</w:t>
      </w:r>
      <w:r>
        <w:fldChar w:fldCharType="end"/>
      </w:r>
      <w:r>
        <w:t xml:space="preserve"> that both vehicle UE and UE-type RSU may support up to 8 antenna elements. We think this </w:t>
      </w:r>
      <w:r w:rsidR="003D7917">
        <w:t>vehicle UE antenna setting could be used in the system level simulation assumptions.</w:t>
      </w:r>
      <w:r>
        <w:t xml:space="preserve"> Subsequently, the vehicle UE antenna gain could be 3 dBi, same as </w:t>
      </w:r>
      <w:r w:rsidR="003D7917">
        <w:t xml:space="preserve">that for </w:t>
      </w:r>
      <w:r>
        <w:t xml:space="preserve">UE-type-RSU antenna. </w:t>
      </w:r>
    </w:p>
    <w:p w14:paraId="568F583F" w14:textId="7484DBB3" w:rsidR="00EF2160" w:rsidRDefault="00EF2160" w:rsidP="00EF2160">
      <w:pPr>
        <w:rPr>
          <w:i/>
        </w:rPr>
      </w:pPr>
      <w:r w:rsidRPr="00003E24">
        <w:rPr>
          <w:b/>
          <w:i/>
          <w:u w:val="single"/>
        </w:rPr>
        <w:t xml:space="preserve">Proposal </w:t>
      </w:r>
      <w:r>
        <w:rPr>
          <w:b/>
          <w:i/>
          <w:u w:val="single"/>
        </w:rPr>
        <w:t>6</w:t>
      </w:r>
      <w:r w:rsidRPr="00003E24">
        <w:rPr>
          <w:i/>
        </w:rPr>
        <w:t>:</w:t>
      </w:r>
      <w:r>
        <w:rPr>
          <w:i/>
        </w:rPr>
        <w:t xml:space="preserve"> </w:t>
      </w:r>
      <w:r w:rsidR="003D7917">
        <w:rPr>
          <w:i/>
        </w:rPr>
        <w:t>A</w:t>
      </w:r>
      <w:r>
        <w:rPr>
          <w:i/>
        </w:rPr>
        <w:t xml:space="preserve"> vehicle UE may support up to 8 antenna elements and </w:t>
      </w:r>
      <w:r w:rsidR="003D7917">
        <w:rPr>
          <w:i/>
        </w:rPr>
        <w:t>its</w:t>
      </w:r>
      <w:r w:rsidR="000674D8">
        <w:rPr>
          <w:i/>
        </w:rPr>
        <w:t xml:space="preserve"> antenna gain can</w:t>
      </w:r>
      <w:r>
        <w:rPr>
          <w:i/>
        </w:rPr>
        <w:t xml:space="preserve"> be 3 dBi.</w:t>
      </w:r>
    </w:p>
    <w:p w14:paraId="54393DA1" w14:textId="77777777" w:rsidR="00EF2160" w:rsidRPr="00AA55EE" w:rsidRDefault="00EF2160" w:rsidP="00EF2160"/>
    <w:p w14:paraId="32FE340A" w14:textId="29063A7F" w:rsidR="00EF2160" w:rsidRPr="00EF2160" w:rsidRDefault="00EF2160" w:rsidP="00EF2160">
      <w:pPr>
        <w:pStyle w:val="Heading2"/>
        <w:numPr>
          <w:ilvl w:val="1"/>
          <w:numId w:val="17"/>
        </w:numPr>
        <w:rPr>
          <w:rFonts w:ascii="Times New Roman" w:hAnsi="Times New Roman"/>
        </w:rPr>
      </w:pPr>
      <w:r w:rsidRPr="00EF2160">
        <w:rPr>
          <w:rFonts w:ascii="Times New Roman" w:hAnsi="Times New Roman"/>
          <w:sz w:val="28"/>
        </w:rPr>
        <w:t>Traffic Model</w:t>
      </w:r>
      <w:r w:rsidRPr="00EF2160">
        <w:rPr>
          <w:rFonts w:ascii="Times New Roman" w:hAnsi="Times New Roman"/>
        </w:rPr>
        <w:t xml:space="preserve"> </w:t>
      </w:r>
    </w:p>
    <w:p w14:paraId="5D1F2259" w14:textId="5592B528" w:rsidR="00EF2160" w:rsidRDefault="00EF2160" w:rsidP="00EF2160">
      <w:r>
        <w:t xml:space="preserve">It was agreed </w:t>
      </w:r>
      <w:r>
        <w:fldChar w:fldCharType="begin"/>
      </w:r>
      <w:r>
        <w:instrText xml:space="preserve"> REF _Ref510442931 \r \h </w:instrText>
      </w:r>
      <w:r>
        <w:fldChar w:fldCharType="separate"/>
      </w:r>
      <w:r>
        <w:t>[4]</w:t>
      </w:r>
      <w:r>
        <w:fldChar w:fldCharType="end"/>
      </w:r>
      <w:r>
        <w:t xml:space="preserve"> that both constant message size and variable message size are supported. The details of how to implement randomness in message size are still open.</w:t>
      </w:r>
    </w:p>
    <w:p w14:paraId="0E758B73" w14:textId="31C52F78" w:rsidR="00EF2160" w:rsidRDefault="00EF2160" w:rsidP="00EF2160">
      <w:r>
        <w:t xml:space="preserve">Different use cases may have different message sizes. For example, it is mentioned in </w:t>
      </w:r>
      <w:r>
        <w:fldChar w:fldCharType="begin"/>
      </w:r>
      <w:r>
        <w:instrText xml:space="preserve"> REF _Ref505955615 \r \h </w:instrText>
      </w:r>
      <w:r>
        <w:fldChar w:fldCharType="separate"/>
      </w:r>
      <w:r>
        <w:t>[2]</w:t>
      </w:r>
      <w:r>
        <w:fldChar w:fldCharType="end"/>
      </w:r>
      <w:r>
        <w:t xml:space="preserve"> that a message size may vary between 50 bytes and 1200 bytes in high density vehicle platooning. A message size could be small (say, 300 – 400 bytes) in normal density vehicle platooning. Overall, a message size </w:t>
      </w:r>
      <w:r>
        <w:fldChar w:fldCharType="begin"/>
      </w:r>
      <w:r>
        <w:instrText xml:space="preserve"> REF _Ref505955615 \r \h </w:instrText>
      </w:r>
      <w:r>
        <w:fldChar w:fldCharType="separate"/>
      </w:r>
      <w:r>
        <w:t>[2]</w:t>
      </w:r>
      <w:r>
        <w:fldChar w:fldCharType="end"/>
      </w:r>
      <w:r>
        <w:t xml:space="preserve"> may range between 50 bytes (e.g., high density vehicle platooning use case) and 12 Kbytes (e.g., full automated driving use case). </w:t>
      </w:r>
    </w:p>
    <w:p w14:paraId="4E736975" w14:textId="41CFB7DC" w:rsidR="00EF2160" w:rsidRDefault="00EF2160" w:rsidP="00EF2160">
      <w:r>
        <w:t xml:space="preserve">If constant message size is applied, we may set the message size as 300 bytes. If variable message size is applied, we may define several possible message sizes besides 300 bytes (e.g., 50 bytes, 1200 bytes, etc.) and uniformly select a value from the set of possible message sizes at each message generation. The design of possible message sizes should consider the requirements of different use cases in </w:t>
      </w:r>
      <w:r>
        <w:fldChar w:fldCharType="begin"/>
      </w:r>
      <w:r>
        <w:instrText xml:space="preserve"> REF _Ref505955615 \r \h </w:instrText>
      </w:r>
      <w:r>
        <w:fldChar w:fldCharType="separate"/>
      </w:r>
      <w:r>
        <w:t>[2]</w:t>
      </w:r>
      <w:r>
        <w:fldChar w:fldCharType="end"/>
      </w:r>
      <w:r>
        <w:t xml:space="preserve">. </w:t>
      </w:r>
    </w:p>
    <w:p w14:paraId="3CA18D90" w14:textId="5C944A67" w:rsidR="00EF2160" w:rsidRDefault="00EF2160" w:rsidP="00EF2160">
      <w:pPr>
        <w:rPr>
          <w:i/>
        </w:rPr>
      </w:pPr>
      <w:r w:rsidRPr="00003E24">
        <w:rPr>
          <w:b/>
          <w:i/>
          <w:u w:val="single"/>
        </w:rPr>
        <w:t xml:space="preserve">Proposal </w:t>
      </w:r>
      <w:r>
        <w:rPr>
          <w:b/>
          <w:i/>
          <w:u w:val="single"/>
        </w:rPr>
        <w:t>7</w:t>
      </w:r>
      <w:r w:rsidRPr="00003E24">
        <w:rPr>
          <w:i/>
        </w:rPr>
        <w:t>:</w:t>
      </w:r>
      <w:r>
        <w:rPr>
          <w:i/>
        </w:rPr>
        <w:t xml:space="preserve"> A set</w:t>
      </w:r>
      <w:r w:rsidR="000674D8">
        <w:rPr>
          <w:i/>
        </w:rPr>
        <w:t xml:space="preserve"> of possible message sizes can</w:t>
      </w:r>
      <w:r>
        <w:rPr>
          <w:i/>
        </w:rPr>
        <w:t xml:space="preserve"> be defined by considering the requirements of different use cases in </w:t>
      </w:r>
      <w:r w:rsidRPr="00FA1541">
        <w:rPr>
          <w:i/>
        </w:rPr>
        <w:fldChar w:fldCharType="begin"/>
      </w:r>
      <w:r w:rsidRPr="00FA1541">
        <w:rPr>
          <w:i/>
        </w:rPr>
        <w:instrText xml:space="preserve"> REF _Ref505955615 \r \h </w:instrText>
      </w:r>
      <w:r>
        <w:rPr>
          <w:i/>
        </w:rPr>
        <w:instrText xml:space="preserve"> \* MERGEFORMAT </w:instrText>
      </w:r>
      <w:r w:rsidRPr="00FA1541">
        <w:rPr>
          <w:i/>
        </w:rPr>
      </w:r>
      <w:r w:rsidRPr="00FA1541">
        <w:rPr>
          <w:i/>
        </w:rPr>
        <w:fldChar w:fldCharType="separate"/>
      </w:r>
      <w:r>
        <w:rPr>
          <w:i/>
        </w:rPr>
        <w:t>[2]</w:t>
      </w:r>
      <w:r w:rsidRPr="00FA1541">
        <w:rPr>
          <w:i/>
        </w:rPr>
        <w:fldChar w:fldCharType="end"/>
      </w:r>
      <w:r>
        <w:rPr>
          <w:i/>
        </w:rPr>
        <w:t>. If variable message size is appl</w:t>
      </w:r>
      <w:r w:rsidR="000674D8">
        <w:rPr>
          <w:i/>
        </w:rPr>
        <w:t>ied, a message size can</w:t>
      </w:r>
      <w:r>
        <w:rPr>
          <w:i/>
        </w:rPr>
        <w:t xml:space="preserve"> be uniformly selected from this set of possible message sizes. If constant message size is appl</w:t>
      </w:r>
      <w:r w:rsidR="000674D8">
        <w:rPr>
          <w:i/>
        </w:rPr>
        <w:t>ied, then the message size can</w:t>
      </w:r>
      <w:r>
        <w:rPr>
          <w:i/>
        </w:rPr>
        <w:t xml:space="preserve"> be 300 bytes. </w:t>
      </w:r>
    </w:p>
    <w:p w14:paraId="1CC0A1E9" w14:textId="6EE9A52D" w:rsidR="00EF2160" w:rsidRPr="00906001" w:rsidRDefault="00EF2160" w:rsidP="00EF2160">
      <w:r>
        <w:t xml:space="preserve">A message may be generated periodically or may be triggered by an event. For periodic traffic, we may determine the message generation period. For event-triggered traffic, we think the model of Option 3-4a in </w:t>
      </w:r>
      <w:r>
        <w:fldChar w:fldCharType="begin"/>
      </w:r>
      <w:r>
        <w:instrText xml:space="preserve"> REF _Ref502833508 \r \h </w:instrText>
      </w:r>
      <w:r>
        <w:fldChar w:fldCharType="separate"/>
      </w:r>
      <w:r>
        <w:t>[8]</w:t>
      </w:r>
      <w:r>
        <w:fldChar w:fldCharType="end"/>
      </w:r>
      <w:r>
        <w:t xml:space="preserve"> is simple and provides good flexibility. Hence, we support applying Option 3-4a to model the event-triggered traffic. </w:t>
      </w:r>
    </w:p>
    <w:p w14:paraId="25101DE5" w14:textId="77777777" w:rsidR="00EF2160" w:rsidRDefault="00EF2160" w:rsidP="00EF2160">
      <w:pPr>
        <w:rPr>
          <w:i/>
        </w:rPr>
      </w:pPr>
      <w:r w:rsidRPr="00003E24">
        <w:rPr>
          <w:b/>
          <w:i/>
          <w:u w:val="single"/>
        </w:rPr>
        <w:t xml:space="preserve">Proposal </w:t>
      </w:r>
      <w:r>
        <w:rPr>
          <w:b/>
          <w:i/>
          <w:u w:val="single"/>
        </w:rPr>
        <w:t>8</w:t>
      </w:r>
      <w:r w:rsidRPr="00003E24">
        <w:rPr>
          <w:i/>
        </w:rPr>
        <w:t>:</w:t>
      </w:r>
      <w:r>
        <w:rPr>
          <w:i/>
        </w:rPr>
        <w:t xml:space="preserve"> Both periodic messages and event-triggered messages should be modelled. </w:t>
      </w:r>
    </w:p>
    <w:p w14:paraId="7657A125" w14:textId="77777777" w:rsidR="00EF2160" w:rsidRPr="00E35AA2" w:rsidRDefault="00EF2160" w:rsidP="00EF2160"/>
    <w:p w14:paraId="1ACE092C" w14:textId="6D363DF9" w:rsidR="00EF2160" w:rsidRPr="00EF2160" w:rsidRDefault="00EF2160" w:rsidP="00EF2160">
      <w:pPr>
        <w:pStyle w:val="Heading2"/>
        <w:numPr>
          <w:ilvl w:val="1"/>
          <w:numId w:val="17"/>
        </w:numPr>
        <w:rPr>
          <w:rFonts w:ascii="Times New Roman" w:hAnsi="Times New Roman"/>
          <w:sz w:val="28"/>
        </w:rPr>
      </w:pPr>
      <w:r w:rsidRPr="00EF2160">
        <w:rPr>
          <w:rFonts w:ascii="Times New Roman" w:hAnsi="Times New Roman"/>
          <w:sz w:val="28"/>
        </w:rPr>
        <w:t>Performance Metric</w:t>
      </w:r>
    </w:p>
    <w:p w14:paraId="6D4292DB" w14:textId="2E480DD4" w:rsidR="00EF2160" w:rsidRDefault="00EF2160" w:rsidP="00EF2160">
      <w:pPr>
        <w:rPr>
          <w:lang w:eastAsia="x-none"/>
        </w:rPr>
      </w:pPr>
      <w:r>
        <w:rPr>
          <w:lang w:eastAsia="x-none"/>
        </w:rPr>
        <w:t xml:space="preserve">It was agreed </w:t>
      </w:r>
      <w:r>
        <w:fldChar w:fldCharType="begin"/>
      </w:r>
      <w:r>
        <w:instrText xml:space="preserve"> REF _Ref510442931 \r \h </w:instrText>
      </w:r>
      <w:r>
        <w:fldChar w:fldCharType="separate"/>
      </w:r>
      <w:r>
        <w:t>[4]</w:t>
      </w:r>
      <w:r>
        <w:fldChar w:fldCharType="end"/>
      </w:r>
      <w:r>
        <w:t xml:space="preserve"> that the packet reception ratio (PRR) is included as a performance metric at least for broadcast-type use cases. It was also agreed </w:t>
      </w:r>
      <w:r>
        <w:fldChar w:fldCharType="begin"/>
      </w:r>
      <w:r>
        <w:instrText xml:space="preserve"> REF _Ref510442931 \r \h </w:instrText>
      </w:r>
      <w:r>
        <w:fldChar w:fldCharType="separate"/>
      </w:r>
      <w:r>
        <w:t>[4]</w:t>
      </w:r>
      <w:r>
        <w:fldChar w:fldCharType="end"/>
      </w:r>
      <w:r>
        <w:t xml:space="preserve"> that an additional metric for persistent collision is introduced for the use cases requiring a reliability higher than LTE V2X. </w:t>
      </w:r>
    </w:p>
    <w:p w14:paraId="2E08CC67" w14:textId="507052DE" w:rsidR="00EF2160" w:rsidRDefault="00EF2160" w:rsidP="00EF2160">
      <w:pPr>
        <w:rPr>
          <w:lang w:eastAsia="x-none"/>
        </w:rPr>
      </w:pPr>
      <w:r>
        <w:rPr>
          <w:lang w:eastAsia="x-none"/>
        </w:rPr>
        <w:lastRenderedPageBreak/>
        <w:t xml:space="preserve">A few candidate metrics for persistent collision were proposed in </w:t>
      </w:r>
      <w:r>
        <w:rPr>
          <w:lang w:eastAsia="x-none"/>
        </w:rPr>
        <w:fldChar w:fldCharType="begin"/>
      </w:r>
      <w:r>
        <w:rPr>
          <w:lang w:eastAsia="x-none"/>
        </w:rPr>
        <w:instrText xml:space="preserve"> REF _Ref502833508 \r \h  \* MERGEFORMAT </w:instrText>
      </w:r>
      <w:r>
        <w:rPr>
          <w:lang w:eastAsia="x-none"/>
        </w:rPr>
      </w:r>
      <w:r>
        <w:rPr>
          <w:lang w:eastAsia="x-none"/>
        </w:rPr>
        <w:fldChar w:fldCharType="separate"/>
      </w:r>
      <w:r>
        <w:rPr>
          <w:lang w:eastAsia="x-none"/>
        </w:rPr>
        <w:t>[8]</w:t>
      </w:r>
      <w:r>
        <w:rPr>
          <w:lang w:eastAsia="x-none"/>
        </w:rPr>
        <w:fldChar w:fldCharType="end"/>
      </w:r>
      <w:r>
        <w:rPr>
          <w:lang w:eastAsia="x-none"/>
        </w:rPr>
        <w:t xml:space="preserve">: packet inter-reception, packet elapsed time, information age, n-consecutive packet loss, etc. </w:t>
      </w:r>
    </w:p>
    <w:p w14:paraId="2296542D" w14:textId="77777777" w:rsidR="00EF2160" w:rsidRDefault="00EF2160" w:rsidP="00EF2160">
      <w:pPr>
        <w:rPr>
          <w:lang w:eastAsia="x-none"/>
        </w:rPr>
      </w:pPr>
      <w:r>
        <w:rPr>
          <w:lang w:eastAsia="x-none"/>
        </w:rPr>
        <w:t xml:space="preserve">Among these candidate metrics, we think the metric “n-consecutive packet loss” is most suitable. It simply counts the number of consecutive packet loss, which is independent of traffic model (i.e., periodic or event-triggered messages). This metric is closely related to the end-to-end latency, which is an important KPI for URLLC. </w:t>
      </w:r>
    </w:p>
    <w:p w14:paraId="7C280422" w14:textId="1462885B" w:rsidR="00EF2160" w:rsidRPr="00BC5450" w:rsidRDefault="00EF2160" w:rsidP="00EF2160">
      <w:pPr>
        <w:rPr>
          <w:lang w:eastAsia="x-none"/>
        </w:rPr>
      </w:pPr>
      <w:r>
        <w:rPr>
          <w:lang w:eastAsia="x-none"/>
        </w:rPr>
        <w:t>Note that different use cases may have different latency requirements. For example, according to</w:t>
      </w:r>
      <w:r>
        <w:t xml:space="preserve"> </w:t>
      </w:r>
      <w:r>
        <w:fldChar w:fldCharType="begin"/>
      </w:r>
      <w:r>
        <w:instrText xml:space="preserve"> REF _Ref505955615 \r \h </w:instrText>
      </w:r>
      <w:r>
        <w:fldChar w:fldCharType="separate"/>
      </w:r>
      <w:r>
        <w:t>[2]</w:t>
      </w:r>
      <w:r>
        <w:fldChar w:fldCharType="end"/>
      </w:r>
      <w:r>
        <w:t xml:space="preserve">, the end-to-end latency is no more than 10 ms in high density vehicle platooning, while it is no more than 25 ms in normal density vehicle platooning. Hence, the “n-consecutive packet loss” metric is suitable for latency estimation. </w:t>
      </w:r>
    </w:p>
    <w:p w14:paraId="263378A0" w14:textId="5D203953" w:rsidR="00EF2160" w:rsidRDefault="00EF2160" w:rsidP="00EF2160">
      <w:pPr>
        <w:rPr>
          <w:i/>
        </w:rPr>
      </w:pPr>
      <w:r w:rsidRPr="00003E24">
        <w:rPr>
          <w:b/>
          <w:i/>
          <w:u w:val="single"/>
        </w:rPr>
        <w:t xml:space="preserve">Proposal </w:t>
      </w:r>
      <w:r>
        <w:rPr>
          <w:b/>
          <w:i/>
          <w:u w:val="single"/>
        </w:rPr>
        <w:t>9</w:t>
      </w:r>
      <w:r w:rsidRPr="00003E24">
        <w:rPr>
          <w:i/>
        </w:rPr>
        <w:t>:</w:t>
      </w:r>
      <w:r>
        <w:rPr>
          <w:i/>
        </w:rPr>
        <w:t xml:space="preserve"> The metric “</w:t>
      </w:r>
      <w:r w:rsidR="000674D8">
        <w:rPr>
          <w:i/>
        </w:rPr>
        <w:t>n-consecutive packet loss” can</w:t>
      </w:r>
      <w:r>
        <w:rPr>
          <w:i/>
        </w:rPr>
        <w:t xml:space="preserve"> be used for persistent collision. </w:t>
      </w:r>
    </w:p>
    <w:p w14:paraId="1CC736AA" w14:textId="77777777" w:rsidR="002B3A7C" w:rsidRPr="001E0E46" w:rsidRDefault="002B3A7C">
      <w:pPr>
        <w:rPr>
          <w:sz w:val="20"/>
          <w:lang w:eastAsia="sv-SE"/>
        </w:rPr>
      </w:pPr>
    </w:p>
    <w:p w14:paraId="68B7CA3C" w14:textId="2B13E632" w:rsidR="00EF2160" w:rsidRPr="00EF2160" w:rsidRDefault="00EF2160" w:rsidP="00EF2160">
      <w:pPr>
        <w:pStyle w:val="Heading1"/>
        <w:pBdr>
          <w:top w:val="single" w:sz="12" w:space="1" w:color="auto"/>
        </w:pBdr>
        <w:spacing w:line="276" w:lineRule="auto"/>
        <w:ind w:left="450" w:hanging="450"/>
        <w:rPr>
          <w:rFonts w:ascii="Times New Roman" w:hAnsi="Times New Roman"/>
          <w:b/>
          <w:sz w:val="32"/>
          <w:szCs w:val="32"/>
        </w:rPr>
      </w:pPr>
      <w:r w:rsidRPr="00EF2160">
        <w:rPr>
          <w:rFonts w:ascii="Times New Roman" w:hAnsi="Times New Roman"/>
          <w:b/>
          <w:sz w:val="32"/>
          <w:szCs w:val="32"/>
        </w:rPr>
        <w:tab/>
        <w:t>Conclusion</w:t>
      </w:r>
    </w:p>
    <w:p w14:paraId="6DD63C42" w14:textId="77777777" w:rsidR="00EF2160" w:rsidRDefault="00EF2160" w:rsidP="00EF2160">
      <w:r w:rsidRPr="008A328D">
        <w:t xml:space="preserve">In this contribution, we </w:t>
      </w:r>
      <w:r>
        <w:t>provided our views on several topics related to evaluation scenarios, UE dropping, BS/RSU deployment, antenna model, traffic model and performance metric. We have the following proposals</w:t>
      </w:r>
      <w:r w:rsidRPr="008A328D">
        <w:t xml:space="preserve">: </w:t>
      </w:r>
    </w:p>
    <w:p w14:paraId="0EDFF53C" w14:textId="77777777" w:rsidR="000674D8" w:rsidRDefault="000674D8" w:rsidP="000674D8">
      <w:pPr>
        <w:rPr>
          <w:i/>
        </w:rPr>
      </w:pPr>
      <w:r w:rsidRPr="00003E24">
        <w:rPr>
          <w:b/>
          <w:i/>
          <w:u w:val="single"/>
        </w:rPr>
        <w:t xml:space="preserve">Proposal </w:t>
      </w:r>
      <w:r>
        <w:rPr>
          <w:b/>
          <w:i/>
          <w:u w:val="single"/>
        </w:rPr>
        <w:t>1</w:t>
      </w:r>
      <w:r w:rsidRPr="00003E24">
        <w:rPr>
          <w:i/>
        </w:rPr>
        <w:t xml:space="preserve">: </w:t>
      </w:r>
      <w:r>
        <w:rPr>
          <w:i/>
        </w:rPr>
        <w:t xml:space="preserve">For below 6 GHz, the simulation bandwidth for sidelink can be 10 MHz or 20 MHz. </w:t>
      </w:r>
    </w:p>
    <w:p w14:paraId="68683673" w14:textId="77777777" w:rsidR="000674D8" w:rsidRDefault="000674D8" w:rsidP="000674D8">
      <w:pPr>
        <w:rPr>
          <w:i/>
        </w:rPr>
      </w:pPr>
      <w:r w:rsidRPr="00003E24">
        <w:rPr>
          <w:b/>
          <w:i/>
          <w:u w:val="single"/>
        </w:rPr>
        <w:t xml:space="preserve">Proposal </w:t>
      </w:r>
      <w:r>
        <w:rPr>
          <w:b/>
          <w:i/>
          <w:u w:val="single"/>
        </w:rPr>
        <w:t>2</w:t>
      </w:r>
      <w:r w:rsidRPr="00003E24">
        <w:rPr>
          <w:i/>
        </w:rPr>
        <w:t xml:space="preserve">: </w:t>
      </w:r>
      <w:r>
        <w:rPr>
          <w:i/>
        </w:rPr>
        <w:t>For above 6 GHz, the aggregated system bandwidth can be 1 GHz for DL+UL and SL. The BS-type-RSU Tx power can be 24 dBm and the UE-type-RSU or UE Tx power can be 23 dBm.</w:t>
      </w:r>
    </w:p>
    <w:p w14:paraId="187931D7" w14:textId="77777777" w:rsidR="000674D8" w:rsidRDefault="000674D8" w:rsidP="000674D8">
      <w:pPr>
        <w:rPr>
          <w:i/>
        </w:rPr>
      </w:pPr>
      <w:r w:rsidRPr="00003E24">
        <w:rPr>
          <w:b/>
          <w:i/>
          <w:u w:val="single"/>
        </w:rPr>
        <w:t xml:space="preserve">Proposal </w:t>
      </w:r>
      <w:r>
        <w:rPr>
          <w:b/>
          <w:i/>
          <w:u w:val="single"/>
        </w:rPr>
        <w:t>3</w:t>
      </w:r>
      <w:r w:rsidRPr="00003E24">
        <w:rPr>
          <w:i/>
        </w:rPr>
        <w:t>:</w:t>
      </w:r>
      <w:r>
        <w:rPr>
          <w:i/>
        </w:rPr>
        <w:t xml:space="preserve"> In UE dropping, the inter-vehicle distance may depend on use cases. For the vehicle platooning use case, the inter-vehicle time gap can be 1 second; for other use cases, the inter-vehicle time gap can be 2 seconds. A minimum inter-vehicle distance can be defined by considering vehicle length.</w:t>
      </w:r>
    </w:p>
    <w:p w14:paraId="46F1768A" w14:textId="77777777" w:rsidR="000674D8" w:rsidRDefault="000674D8" w:rsidP="000674D8">
      <w:pPr>
        <w:rPr>
          <w:i/>
        </w:rPr>
      </w:pPr>
      <w:r w:rsidRPr="00003E24">
        <w:rPr>
          <w:b/>
          <w:i/>
          <w:u w:val="single"/>
        </w:rPr>
        <w:t xml:space="preserve">Proposal </w:t>
      </w:r>
      <w:r>
        <w:rPr>
          <w:b/>
          <w:i/>
          <w:u w:val="single"/>
        </w:rPr>
        <w:t>4</w:t>
      </w:r>
      <w:r w:rsidRPr="00003E24">
        <w:rPr>
          <w:i/>
        </w:rPr>
        <w:t>:</w:t>
      </w:r>
      <w:r>
        <w:rPr>
          <w:i/>
        </w:rPr>
        <w:t xml:space="preserve"> The BS deployment for above 6 GHz can be the same as that for below 6 GHz</w:t>
      </w:r>
      <w:r w:rsidRPr="007C15EE">
        <w:rPr>
          <w:i/>
        </w:rPr>
        <w:t>. The RSU density for above 6 GHz should be higher than that for below 6 GHz.</w:t>
      </w:r>
    </w:p>
    <w:p w14:paraId="5100E332" w14:textId="77777777" w:rsidR="000674D8" w:rsidRPr="001075F4" w:rsidRDefault="000674D8" w:rsidP="000674D8">
      <w:pPr>
        <w:rPr>
          <w:i/>
        </w:rPr>
      </w:pPr>
      <w:r w:rsidRPr="00003E24">
        <w:rPr>
          <w:b/>
          <w:i/>
          <w:u w:val="single"/>
        </w:rPr>
        <w:t xml:space="preserve">Proposal </w:t>
      </w:r>
      <w:r>
        <w:rPr>
          <w:b/>
          <w:i/>
          <w:u w:val="single"/>
        </w:rPr>
        <w:t>5</w:t>
      </w:r>
      <w:r w:rsidRPr="00003E24">
        <w:rPr>
          <w:i/>
        </w:rPr>
        <w:t>:</w:t>
      </w:r>
      <w:r>
        <w:rPr>
          <w:i/>
        </w:rPr>
        <w:t xml:space="preserve"> For both above 6 GHz and below 6 GHz, the vehicle UE antenna heights can be 1.5 meters for passenger vehicle and can be 3 meters for truck or bus. </w:t>
      </w:r>
    </w:p>
    <w:p w14:paraId="5A33BF02" w14:textId="77777777" w:rsidR="000674D8" w:rsidRDefault="000674D8" w:rsidP="000674D8">
      <w:pPr>
        <w:rPr>
          <w:i/>
        </w:rPr>
      </w:pPr>
      <w:r w:rsidRPr="00003E24">
        <w:rPr>
          <w:b/>
          <w:i/>
          <w:u w:val="single"/>
        </w:rPr>
        <w:t xml:space="preserve">Proposal </w:t>
      </w:r>
      <w:r>
        <w:rPr>
          <w:b/>
          <w:i/>
          <w:u w:val="single"/>
        </w:rPr>
        <w:t>6</w:t>
      </w:r>
      <w:r w:rsidRPr="00003E24">
        <w:rPr>
          <w:i/>
        </w:rPr>
        <w:t>:</w:t>
      </w:r>
      <w:r>
        <w:rPr>
          <w:i/>
        </w:rPr>
        <w:t xml:space="preserve"> A vehicle UE may support up to 8 antenna elements and its antenna gain can be 3 dBi.</w:t>
      </w:r>
    </w:p>
    <w:p w14:paraId="3C96F47A" w14:textId="77777777" w:rsidR="000674D8" w:rsidRDefault="000674D8" w:rsidP="000674D8">
      <w:pPr>
        <w:rPr>
          <w:i/>
        </w:rPr>
      </w:pPr>
      <w:r w:rsidRPr="00003E24">
        <w:rPr>
          <w:b/>
          <w:i/>
          <w:u w:val="single"/>
        </w:rPr>
        <w:t xml:space="preserve">Proposal </w:t>
      </w:r>
      <w:r>
        <w:rPr>
          <w:b/>
          <w:i/>
          <w:u w:val="single"/>
        </w:rPr>
        <w:t>7</w:t>
      </w:r>
      <w:r w:rsidRPr="00003E24">
        <w:rPr>
          <w:i/>
        </w:rPr>
        <w:t>:</w:t>
      </w:r>
      <w:r>
        <w:rPr>
          <w:i/>
        </w:rPr>
        <w:t xml:space="preserve"> A set of possible message sizes can be defined by considering the requirements of different use cases in </w:t>
      </w:r>
      <w:r w:rsidRPr="00FA1541">
        <w:rPr>
          <w:i/>
        </w:rPr>
        <w:fldChar w:fldCharType="begin"/>
      </w:r>
      <w:r w:rsidRPr="00FA1541">
        <w:rPr>
          <w:i/>
        </w:rPr>
        <w:instrText xml:space="preserve"> REF _Ref505955615 \r \h </w:instrText>
      </w:r>
      <w:r>
        <w:rPr>
          <w:i/>
        </w:rPr>
        <w:instrText xml:space="preserve"> \* MERGEFORMAT </w:instrText>
      </w:r>
      <w:r w:rsidRPr="00FA1541">
        <w:rPr>
          <w:i/>
        </w:rPr>
      </w:r>
      <w:r w:rsidRPr="00FA1541">
        <w:rPr>
          <w:i/>
        </w:rPr>
        <w:fldChar w:fldCharType="separate"/>
      </w:r>
      <w:r>
        <w:rPr>
          <w:i/>
        </w:rPr>
        <w:t>[2]</w:t>
      </w:r>
      <w:r w:rsidRPr="00FA1541">
        <w:rPr>
          <w:i/>
        </w:rPr>
        <w:fldChar w:fldCharType="end"/>
      </w:r>
      <w:r>
        <w:rPr>
          <w:i/>
        </w:rPr>
        <w:t xml:space="preserve">. If variable message size is applied, a message size can be uniformly selected from this set of possible message sizes. If constant message size is applied, then the message size can be 300 bytes. </w:t>
      </w:r>
    </w:p>
    <w:p w14:paraId="3CC6FB9D" w14:textId="77777777" w:rsidR="00EF2160" w:rsidRDefault="00EF2160" w:rsidP="00EF2160">
      <w:pPr>
        <w:rPr>
          <w:b/>
          <w:i/>
          <w:u w:val="single"/>
        </w:rPr>
      </w:pPr>
      <w:r w:rsidRPr="00003E24">
        <w:rPr>
          <w:b/>
          <w:i/>
          <w:u w:val="single"/>
        </w:rPr>
        <w:t xml:space="preserve">Proposal </w:t>
      </w:r>
      <w:r>
        <w:rPr>
          <w:b/>
          <w:i/>
          <w:u w:val="single"/>
        </w:rPr>
        <w:t>8</w:t>
      </w:r>
      <w:r w:rsidRPr="00003E24">
        <w:rPr>
          <w:i/>
        </w:rPr>
        <w:t>:</w:t>
      </w:r>
      <w:r>
        <w:rPr>
          <w:i/>
        </w:rPr>
        <w:t xml:space="preserve"> Both periodic messages and event-triggered messages should be modelled.</w:t>
      </w:r>
    </w:p>
    <w:p w14:paraId="78E585AE" w14:textId="77777777" w:rsidR="000674D8" w:rsidRDefault="000674D8" w:rsidP="000674D8">
      <w:pPr>
        <w:rPr>
          <w:i/>
        </w:rPr>
      </w:pPr>
      <w:r w:rsidRPr="00003E24">
        <w:rPr>
          <w:b/>
          <w:i/>
          <w:u w:val="single"/>
        </w:rPr>
        <w:t xml:space="preserve">Proposal </w:t>
      </w:r>
      <w:r>
        <w:rPr>
          <w:b/>
          <w:i/>
          <w:u w:val="single"/>
        </w:rPr>
        <w:t>9</w:t>
      </w:r>
      <w:r w:rsidRPr="00003E24">
        <w:rPr>
          <w:i/>
        </w:rPr>
        <w:t>:</w:t>
      </w:r>
      <w:r>
        <w:rPr>
          <w:i/>
        </w:rPr>
        <w:t xml:space="preserve"> The metric “n-consecutive packet loss” can be used for persistent collision. </w:t>
      </w:r>
    </w:p>
    <w:p w14:paraId="7A7E4D34" w14:textId="31CFB118" w:rsidR="00746CE2" w:rsidRPr="001E0E46" w:rsidRDefault="00746CE2" w:rsidP="003242DD">
      <w:pPr>
        <w:rPr>
          <w:sz w:val="20"/>
        </w:rPr>
      </w:pP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42C5A6CB" w14:textId="77777777" w:rsidR="00EF2160" w:rsidRDefault="00EF2160" w:rsidP="00EF2160">
      <w:pPr>
        <w:pStyle w:val="ListParagraph"/>
        <w:numPr>
          <w:ilvl w:val="0"/>
          <w:numId w:val="18"/>
        </w:numPr>
        <w:spacing w:before="120" w:after="160" w:line="259" w:lineRule="auto"/>
        <w:contextualSpacing/>
        <w:jc w:val="both"/>
        <w:rPr>
          <w:rFonts w:ascii="Times New Roman" w:hAnsi="Times New Roman"/>
        </w:rPr>
      </w:pPr>
      <w:bookmarkStart w:id="1" w:name="_Ref494389398"/>
      <w:bookmarkStart w:id="2" w:name="_Ref450919508"/>
      <w:bookmarkStart w:id="3" w:name="_Ref450134909"/>
      <w:bookmarkStart w:id="4" w:name="_Ref450134515"/>
      <w:bookmarkStart w:id="5" w:name="_Ref442098367"/>
      <w:r>
        <w:rPr>
          <w:rFonts w:ascii="Times New Roman" w:hAnsi="Times New Roman"/>
        </w:rPr>
        <w:t>RP-170837, “New SI proposal: Study on evaluation methodology of new V2X use cases for LTE and NR,” LG, Mar. 2017</w:t>
      </w:r>
      <w:r w:rsidRPr="005240A0">
        <w:rPr>
          <w:rFonts w:ascii="Times New Roman" w:hAnsi="Times New Roman"/>
        </w:rPr>
        <w:t>.</w:t>
      </w:r>
      <w:bookmarkEnd w:id="1"/>
      <w:bookmarkEnd w:id="2"/>
      <w:bookmarkEnd w:id="3"/>
      <w:bookmarkEnd w:id="4"/>
      <w:bookmarkEnd w:id="5"/>
      <w:r w:rsidRPr="005240A0">
        <w:rPr>
          <w:rFonts w:ascii="Times New Roman" w:hAnsi="Times New Roman"/>
        </w:rPr>
        <w:t xml:space="preserve"> </w:t>
      </w:r>
    </w:p>
    <w:p w14:paraId="339C8D11" w14:textId="77777777" w:rsidR="00EF2160" w:rsidRDefault="00EF2160" w:rsidP="00EF2160">
      <w:pPr>
        <w:pStyle w:val="ListParagraph"/>
        <w:numPr>
          <w:ilvl w:val="0"/>
          <w:numId w:val="18"/>
        </w:numPr>
        <w:spacing w:before="120" w:after="160" w:line="259" w:lineRule="auto"/>
        <w:contextualSpacing/>
        <w:jc w:val="both"/>
        <w:rPr>
          <w:rFonts w:ascii="Times New Roman" w:hAnsi="Times New Roman"/>
        </w:rPr>
      </w:pPr>
      <w:bookmarkStart w:id="6" w:name="_Ref505955615"/>
      <w:r>
        <w:rPr>
          <w:rFonts w:ascii="Times New Roman" w:hAnsi="Times New Roman"/>
        </w:rPr>
        <w:t>3GPP TR 22.886, Study on enhancement of 3GPP support for 5G V2X services, v.15.1.0, Mar. 2017.</w:t>
      </w:r>
      <w:bookmarkEnd w:id="6"/>
      <w:r>
        <w:rPr>
          <w:rFonts w:ascii="Times New Roman" w:hAnsi="Times New Roman"/>
        </w:rPr>
        <w:t xml:space="preserve"> </w:t>
      </w:r>
    </w:p>
    <w:p w14:paraId="17DC9E6B" w14:textId="77777777" w:rsidR="00EF2160" w:rsidRDefault="00EF2160" w:rsidP="00EF2160">
      <w:pPr>
        <w:pStyle w:val="ListParagraph"/>
        <w:numPr>
          <w:ilvl w:val="0"/>
          <w:numId w:val="18"/>
        </w:numPr>
        <w:spacing w:before="120" w:after="160" w:line="259" w:lineRule="auto"/>
        <w:contextualSpacing/>
        <w:jc w:val="both"/>
        <w:rPr>
          <w:rFonts w:ascii="Times New Roman" w:hAnsi="Times New Roman"/>
        </w:rPr>
      </w:pPr>
      <w:bookmarkStart w:id="7" w:name="_Ref505955644"/>
      <w:r>
        <w:rPr>
          <w:rFonts w:ascii="Times New Roman" w:hAnsi="Times New Roman"/>
        </w:rPr>
        <w:t>3GPP TR 38.913, Study on scenarios and requirements for next generation access technologies, v.14.3.0, Aug. 2017.</w:t>
      </w:r>
      <w:bookmarkEnd w:id="7"/>
    </w:p>
    <w:p w14:paraId="05B62F2A" w14:textId="77777777" w:rsidR="00EF2160" w:rsidRPr="001251CD" w:rsidRDefault="00EF2160" w:rsidP="00EF2160">
      <w:pPr>
        <w:pStyle w:val="ListParagraph"/>
        <w:numPr>
          <w:ilvl w:val="0"/>
          <w:numId w:val="18"/>
        </w:numPr>
        <w:spacing w:before="120" w:after="160" w:line="259" w:lineRule="auto"/>
        <w:contextualSpacing/>
        <w:jc w:val="both"/>
        <w:rPr>
          <w:rFonts w:ascii="Times New Roman" w:hAnsi="Times New Roman"/>
        </w:rPr>
      </w:pPr>
      <w:bookmarkStart w:id="8" w:name="_Ref510442931"/>
      <w:r>
        <w:rPr>
          <w:rFonts w:ascii="Times New Roman" w:hAnsi="Times New Roman"/>
        </w:rPr>
        <w:t>Chairman’s Notes, 3GPP TSG RAN WG1 #92 Meeting, Athens, Greece, Feb. 2018.</w:t>
      </w:r>
      <w:bookmarkEnd w:id="8"/>
      <w:r>
        <w:rPr>
          <w:rFonts w:ascii="Times New Roman" w:hAnsi="Times New Roman"/>
        </w:rPr>
        <w:t xml:space="preserve"> </w:t>
      </w:r>
      <w:r w:rsidRPr="001251CD">
        <w:rPr>
          <w:rFonts w:ascii="Times New Roman" w:hAnsi="Times New Roman"/>
        </w:rPr>
        <w:t xml:space="preserve"> </w:t>
      </w:r>
    </w:p>
    <w:p w14:paraId="393C0BE4" w14:textId="4524FEA2" w:rsidR="00EF2160" w:rsidRDefault="00626339" w:rsidP="00EF2160">
      <w:pPr>
        <w:pStyle w:val="ListParagraph"/>
        <w:numPr>
          <w:ilvl w:val="0"/>
          <w:numId w:val="18"/>
        </w:numPr>
        <w:spacing w:before="120" w:after="160" w:line="259" w:lineRule="auto"/>
        <w:contextualSpacing/>
        <w:jc w:val="both"/>
        <w:rPr>
          <w:rFonts w:ascii="Times New Roman" w:hAnsi="Times New Roman"/>
        </w:rPr>
      </w:pPr>
      <w:bookmarkStart w:id="9" w:name="_Ref510512878"/>
      <w:bookmarkStart w:id="10" w:name="_Ref502832396"/>
      <w:r>
        <w:rPr>
          <w:rFonts w:ascii="Times New Roman" w:hAnsi="Times New Roman"/>
        </w:rPr>
        <w:t>R1-1804866</w:t>
      </w:r>
      <w:r w:rsidR="00EF2160">
        <w:rPr>
          <w:rFonts w:ascii="Times New Roman" w:hAnsi="Times New Roman"/>
        </w:rPr>
        <w:t>, “V2X sidelink channel model with vehicle blockage,” InterDigital, Apr. 2018.</w:t>
      </w:r>
      <w:bookmarkEnd w:id="9"/>
      <w:r w:rsidR="00EF2160">
        <w:rPr>
          <w:rFonts w:ascii="Times New Roman" w:hAnsi="Times New Roman"/>
        </w:rPr>
        <w:t xml:space="preserve"> </w:t>
      </w:r>
    </w:p>
    <w:p w14:paraId="4FA0F50E" w14:textId="77777777" w:rsidR="00EF2160" w:rsidRDefault="00EF2160" w:rsidP="00EF2160">
      <w:pPr>
        <w:pStyle w:val="ListParagraph"/>
        <w:numPr>
          <w:ilvl w:val="0"/>
          <w:numId w:val="18"/>
        </w:numPr>
        <w:spacing w:before="120" w:after="160" w:line="259" w:lineRule="auto"/>
        <w:contextualSpacing/>
        <w:jc w:val="both"/>
        <w:rPr>
          <w:rFonts w:ascii="Times New Roman" w:hAnsi="Times New Roman"/>
        </w:rPr>
      </w:pPr>
      <w:r>
        <w:rPr>
          <w:rFonts w:ascii="Times New Roman" w:hAnsi="Times New Roman"/>
        </w:rPr>
        <w:t>R1-1715092, “Summary of email discussion [89-28] eV2X evaluation methodology,” LG, Aug. 2017.</w:t>
      </w:r>
      <w:bookmarkEnd w:id="10"/>
      <w:r>
        <w:rPr>
          <w:rFonts w:ascii="Times New Roman" w:hAnsi="Times New Roman"/>
        </w:rPr>
        <w:t xml:space="preserve"> </w:t>
      </w:r>
    </w:p>
    <w:p w14:paraId="6CE60202" w14:textId="77777777" w:rsidR="00EF2160" w:rsidRDefault="00EF2160" w:rsidP="00EF2160">
      <w:pPr>
        <w:pStyle w:val="ListParagraph"/>
        <w:numPr>
          <w:ilvl w:val="0"/>
          <w:numId w:val="18"/>
        </w:numPr>
        <w:spacing w:before="120" w:after="160" w:line="259" w:lineRule="auto"/>
        <w:contextualSpacing/>
        <w:jc w:val="both"/>
        <w:rPr>
          <w:rFonts w:ascii="Times New Roman" w:hAnsi="Times New Roman"/>
        </w:rPr>
      </w:pPr>
      <w:bookmarkStart w:id="11" w:name="_Ref502833058"/>
      <w:r>
        <w:rPr>
          <w:rFonts w:ascii="Times New Roman" w:hAnsi="Times New Roman"/>
        </w:rPr>
        <w:t>R1-1717293, “Summary of email discussion [90-30] on eV2X evaluation methodology,” LG, Oct. 2017.</w:t>
      </w:r>
      <w:bookmarkEnd w:id="11"/>
      <w:r>
        <w:rPr>
          <w:rFonts w:ascii="Times New Roman" w:hAnsi="Times New Roman"/>
        </w:rPr>
        <w:t xml:space="preserve"> </w:t>
      </w:r>
    </w:p>
    <w:p w14:paraId="4EE80475" w14:textId="77777777" w:rsidR="00EF2160" w:rsidRPr="00800A72" w:rsidRDefault="00EF2160" w:rsidP="00EF2160">
      <w:pPr>
        <w:pStyle w:val="ListParagraph"/>
        <w:numPr>
          <w:ilvl w:val="0"/>
          <w:numId w:val="18"/>
        </w:numPr>
        <w:spacing w:before="120" w:after="160" w:line="259" w:lineRule="auto"/>
        <w:contextualSpacing/>
        <w:jc w:val="both"/>
        <w:rPr>
          <w:rFonts w:ascii="Times New Roman" w:hAnsi="Times New Roman"/>
        </w:rPr>
      </w:pPr>
      <w:bookmarkStart w:id="12" w:name="_Ref502833508"/>
      <w:r>
        <w:rPr>
          <w:rFonts w:ascii="Times New Roman" w:hAnsi="Times New Roman"/>
        </w:rPr>
        <w:t>R1-1721545, “Summary of email discussion [90b-NR-02] on eV2X evaluation methodology,” LG. Nov. 2017.</w:t>
      </w:r>
      <w:bookmarkEnd w:id="12"/>
      <w:r>
        <w:rPr>
          <w:rFonts w:ascii="Times New Roman" w:hAnsi="Times New Roman"/>
        </w:rPr>
        <w:t xml:space="preserve"> </w:t>
      </w:r>
    </w:p>
    <w:p w14:paraId="35FFCE8D" w14:textId="77777777" w:rsidR="00EF2160" w:rsidRDefault="00EF2160" w:rsidP="00EF2160">
      <w:pPr>
        <w:pStyle w:val="ListParagraph"/>
        <w:numPr>
          <w:ilvl w:val="0"/>
          <w:numId w:val="18"/>
        </w:numPr>
        <w:spacing w:before="120" w:after="160" w:line="259" w:lineRule="auto"/>
        <w:contextualSpacing/>
        <w:jc w:val="both"/>
        <w:rPr>
          <w:rFonts w:ascii="Times New Roman" w:hAnsi="Times New Roman"/>
        </w:rPr>
      </w:pPr>
      <w:bookmarkStart w:id="13" w:name="_Ref505880344"/>
      <w:r>
        <w:rPr>
          <w:rFonts w:ascii="Times New Roman" w:hAnsi="Times New Roman"/>
        </w:rPr>
        <w:lastRenderedPageBreak/>
        <w:t xml:space="preserve">R1-1803322, “Summary of [91-NR-18] Email discussion on evaluation methodology for eV2X,” LG. Feb. 2018. </w:t>
      </w:r>
      <w:bookmarkEnd w:id="13"/>
    </w:p>
    <w:p w14:paraId="31A3CD17" w14:textId="77777777" w:rsidR="00EF2160" w:rsidRDefault="00EF2160" w:rsidP="00EF2160">
      <w:pPr>
        <w:pStyle w:val="ListParagraph"/>
        <w:numPr>
          <w:ilvl w:val="0"/>
          <w:numId w:val="18"/>
        </w:numPr>
        <w:spacing w:before="120" w:after="160" w:line="259" w:lineRule="auto"/>
        <w:contextualSpacing/>
        <w:jc w:val="both"/>
        <w:rPr>
          <w:rFonts w:ascii="Times New Roman" w:hAnsi="Times New Roman"/>
        </w:rPr>
      </w:pPr>
      <w:bookmarkStart w:id="14" w:name="_Ref506198991"/>
      <w:r>
        <w:rPr>
          <w:rFonts w:ascii="Times New Roman" w:hAnsi="Times New Roman"/>
        </w:rPr>
        <w:t>3GPP TR38.802, Study on new radio access technology physical layer aspects, v.14.2.0, Sept. 2017.</w:t>
      </w:r>
      <w:bookmarkEnd w:id="14"/>
    </w:p>
    <w:p w14:paraId="1CA3A936" w14:textId="0195DD8E" w:rsidR="00E246F8" w:rsidRPr="00EF2160" w:rsidRDefault="00EF2160" w:rsidP="00EF2160">
      <w:pPr>
        <w:pStyle w:val="ListParagraph"/>
        <w:numPr>
          <w:ilvl w:val="0"/>
          <w:numId w:val="18"/>
        </w:numPr>
        <w:spacing w:before="120" w:after="160" w:line="259" w:lineRule="auto"/>
        <w:contextualSpacing/>
        <w:jc w:val="both"/>
        <w:rPr>
          <w:rFonts w:ascii="Times New Roman" w:hAnsi="Times New Roman"/>
        </w:rPr>
      </w:pPr>
      <w:bookmarkStart w:id="15" w:name="_Ref506207120"/>
      <w:r>
        <w:rPr>
          <w:rFonts w:ascii="Times New Roman" w:hAnsi="Times New Roman"/>
        </w:rPr>
        <w:t>3GPP TR36.885, Study on LTE-based V2X services, v.14.0.0, Jul. 2016.</w:t>
      </w:r>
      <w:bookmarkEnd w:id="15"/>
      <w:r>
        <w:rPr>
          <w:rFonts w:ascii="Times New Roman" w:hAnsi="Times New Roman"/>
        </w:rPr>
        <w:t xml:space="preserve"> </w:t>
      </w:r>
    </w:p>
    <w:sectPr w:rsidR="00E246F8" w:rsidRPr="00EF2160" w:rsidSect="00D5508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D8546" w14:textId="77777777" w:rsidR="00D31732" w:rsidRDefault="00D31732">
      <w:r>
        <w:separator/>
      </w:r>
    </w:p>
  </w:endnote>
  <w:endnote w:type="continuationSeparator" w:id="0">
    <w:p w14:paraId="6B0BB66D" w14:textId="77777777" w:rsidR="00D31732" w:rsidRDefault="00D31732">
      <w:r>
        <w:continuationSeparator/>
      </w:r>
    </w:p>
  </w:endnote>
  <w:endnote w:type="continuationNotice" w:id="1">
    <w:p w14:paraId="495DA41A" w14:textId="77777777" w:rsidR="00D31732" w:rsidRDefault="00D31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B8783" w14:textId="77777777" w:rsidR="00925846" w:rsidRDefault="00925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AAF245E" w:rsidR="00916FCC" w:rsidRPr="00925846" w:rsidRDefault="00916FCC" w:rsidP="00925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8F76F" w14:textId="77777777" w:rsidR="00925846" w:rsidRDefault="00925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DA03D" w14:textId="77777777" w:rsidR="00D31732" w:rsidRDefault="00D31732">
      <w:r>
        <w:separator/>
      </w:r>
    </w:p>
  </w:footnote>
  <w:footnote w:type="continuationSeparator" w:id="0">
    <w:p w14:paraId="711B9B91" w14:textId="77777777" w:rsidR="00D31732" w:rsidRDefault="00D31732">
      <w:r>
        <w:continuationSeparator/>
      </w:r>
    </w:p>
  </w:footnote>
  <w:footnote w:type="continuationNotice" w:id="1">
    <w:p w14:paraId="6FFA5725" w14:textId="77777777" w:rsidR="00D31732" w:rsidRDefault="00D31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D079" w14:textId="77777777" w:rsidR="00925846" w:rsidRDefault="0092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E5D00" w14:textId="77777777" w:rsidR="00925846" w:rsidRDefault="0092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15A29E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2"/>
  </w:num>
  <w:num w:numId="8">
    <w:abstractNumId w:val="5"/>
  </w:num>
  <w:num w:numId="9">
    <w:abstractNumId w:val="15"/>
  </w:num>
  <w:num w:numId="10">
    <w:abstractNumId w:val="3"/>
  </w:num>
  <w:num w:numId="11">
    <w:abstractNumId w:val="1"/>
  </w:num>
  <w:num w:numId="12">
    <w:abstractNumId w:val="10"/>
  </w:num>
  <w:num w:numId="13">
    <w:abstractNumId w:val="14"/>
  </w:num>
  <w:num w:numId="14">
    <w:abstractNumId w:val="2"/>
  </w:num>
  <w:num w:numId="15">
    <w:abstractNumId w:val="0"/>
  </w:num>
  <w:num w:numId="16">
    <w:abstractNumId w:val="13"/>
  </w:num>
  <w:num w:numId="17">
    <w:abstractNumId w:val="0"/>
  </w:num>
  <w:num w:numId="1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17"/>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339"/>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080A"/>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46"/>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8B9"/>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overflowPunct/>
      <w:autoSpaceDE/>
      <w:autoSpaceDN/>
      <w:adjustRightInd/>
      <w:spacing w:before="60" w:after="60" w:line="259" w:lineRule="auto"/>
      <w:ind w:left="851" w:hanging="851"/>
      <w:textAlignment w:val="auto"/>
    </w:pPr>
    <w:rPr>
      <w:rFonts w:asciiTheme="minorHAnsi" w:hAnsiTheme="minorHAnsi" w:cs="Arial"/>
      <w:color w:val="0000FF"/>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2323</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2018-04-07T00:50:00Z</dcterms:created>
  <dcterms:modified xsi:type="dcterms:W3CDTF">2018-04-07T00:50:00Z</dcterms:modified>
  <cp:category/>
</cp:coreProperties>
</file>